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83E67" w14:textId="3650BFAC" w:rsidR="00E32AE5" w:rsidRDefault="00C24FFB" w:rsidP="00C24FFB">
      <w:pPr>
        <w:rPr>
          <w:b/>
          <w:sz w:val="28"/>
          <w:szCs w:val="28"/>
        </w:rPr>
      </w:pPr>
      <w:r>
        <w:rPr>
          <w:b/>
          <w:noProof/>
          <w:sz w:val="28"/>
          <w:szCs w:val="28"/>
        </w:rPr>
        <w:drawing>
          <wp:inline distT="0" distB="0" distL="0" distR="0" wp14:anchorId="52D5FADB" wp14:editId="1625AECB">
            <wp:extent cx="2515010" cy="7429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O English Landscape CMYK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7350" cy="761366"/>
                    </a:xfrm>
                    <a:prstGeom prst="rect">
                      <a:avLst/>
                    </a:prstGeom>
                  </pic:spPr>
                </pic:pic>
              </a:graphicData>
            </a:graphic>
          </wp:inline>
        </w:drawing>
      </w:r>
    </w:p>
    <w:p w14:paraId="3C96FC40" w14:textId="77777777" w:rsidR="00E32AE5" w:rsidRPr="00380699" w:rsidRDefault="00E32AE5" w:rsidP="00380699">
      <w:pPr>
        <w:rPr>
          <w:b/>
          <w:color w:val="000000" w:themeColor="text1"/>
          <w:sz w:val="28"/>
          <w:szCs w:val="28"/>
        </w:rPr>
      </w:pPr>
    </w:p>
    <w:p w14:paraId="0757F753" w14:textId="025FD6ED" w:rsidR="003828CF" w:rsidRPr="00380699" w:rsidRDefault="00A67EDF" w:rsidP="00380699">
      <w:pPr>
        <w:rPr>
          <w:b/>
          <w:color w:val="31849B" w:themeColor="accent5" w:themeShade="BF"/>
          <w:sz w:val="40"/>
          <w:szCs w:val="40"/>
        </w:rPr>
      </w:pPr>
      <w:r w:rsidRPr="00380699">
        <w:rPr>
          <w:b/>
          <w:color w:val="000000" w:themeColor="text1"/>
          <w:sz w:val="56"/>
          <w:szCs w:val="56"/>
        </w:rPr>
        <w:t>The</w:t>
      </w:r>
      <w:r w:rsidR="003828CF" w:rsidRPr="00380699">
        <w:rPr>
          <w:b/>
          <w:color w:val="000000" w:themeColor="text1"/>
          <w:sz w:val="56"/>
          <w:szCs w:val="56"/>
        </w:rPr>
        <w:t xml:space="preserve"> Personal Health Information Protection Act, 2004</w:t>
      </w:r>
      <w:r w:rsidR="003828CF" w:rsidRPr="00380699">
        <w:rPr>
          <w:b/>
          <w:color w:val="31849B" w:themeColor="accent5" w:themeShade="BF"/>
          <w:sz w:val="40"/>
          <w:szCs w:val="40"/>
        </w:rPr>
        <w:br/>
        <w:t>A Guide for Regulated Health Professionals</w:t>
      </w:r>
    </w:p>
    <w:p w14:paraId="54B7D6FC" w14:textId="77777777" w:rsidR="00E32AE5" w:rsidRDefault="00E32AE5" w:rsidP="003828CF">
      <w:pPr>
        <w:jc w:val="center"/>
        <w:rPr>
          <w:b/>
          <w:sz w:val="28"/>
          <w:szCs w:val="28"/>
        </w:rPr>
      </w:pPr>
    </w:p>
    <w:p w14:paraId="2BBF655A" w14:textId="77777777" w:rsidR="00E32AE5" w:rsidRDefault="00E32AE5" w:rsidP="003828CF">
      <w:pPr>
        <w:jc w:val="center"/>
        <w:rPr>
          <w:b/>
          <w:sz w:val="28"/>
          <w:szCs w:val="28"/>
        </w:rPr>
      </w:pPr>
    </w:p>
    <w:p w14:paraId="68A0056F" w14:textId="77777777" w:rsidR="0010486A" w:rsidRDefault="0010486A" w:rsidP="003828CF">
      <w:pPr>
        <w:jc w:val="center"/>
        <w:rPr>
          <w:b/>
          <w:sz w:val="28"/>
          <w:szCs w:val="28"/>
        </w:rPr>
      </w:pPr>
    </w:p>
    <w:p w14:paraId="5DFD6810" w14:textId="77777777" w:rsidR="0010486A" w:rsidRDefault="0010486A" w:rsidP="003828CF">
      <w:pPr>
        <w:jc w:val="center"/>
        <w:rPr>
          <w:b/>
          <w:sz w:val="28"/>
          <w:szCs w:val="28"/>
        </w:rPr>
      </w:pPr>
    </w:p>
    <w:p w14:paraId="5D8E0780" w14:textId="77777777" w:rsidR="00E32AE5" w:rsidRDefault="00E32AE5" w:rsidP="003828CF">
      <w:pPr>
        <w:jc w:val="center"/>
        <w:rPr>
          <w:b/>
          <w:sz w:val="28"/>
          <w:szCs w:val="28"/>
        </w:rPr>
      </w:pPr>
    </w:p>
    <w:p w14:paraId="2CC2A39A" w14:textId="77777777" w:rsidR="00A52BAE" w:rsidRDefault="00A52BAE" w:rsidP="003828CF">
      <w:pPr>
        <w:jc w:val="center"/>
        <w:rPr>
          <w:b/>
          <w:sz w:val="28"/>
          <w:szCs w:val="28"/>
        </w:rPr>
      </w:pPr>
    </w:p>
    <w:p w14:paraId="420B0637" w14:textId="77777777" w:rsidR="00E32AE5" w:rsidRDefault="00E32AE5" w:rsidP="003828CF">
      <w:pPr>
        <w:jc w:val="center"/>
        <w:rPr>
          <w:b/>
          <w:sz w:val="28"/>
          <w:szCs w:val="28"/>
        </w:rPr>
      </w:pPr>
    </w:p>
    <w:p w14:paraId="3BFA3975" w14:textId="77777777" w:rsidR="00E32AE5" w:rsidRDefault="00E32AE5" w:rsidP="003828CF">
      <w:pPr>
        <w:jc w:val="center"/>
        <w:rPr>
          <w:b/>
          <w:sz w:val="28"/>
          <w:szCs w:val="28"/>
        </w:rPr>
      </w:pPr>
    </w:p>
    <w:p w14:paraId="097B104E" w14:textId="77777777" w:rsidR="00E32AE5" w:rsidRDefault="00E32AE5" w:rsidP="003828CF">
      <w:pPr>
        <w:jc w:val="center"/>
        <w:rPr>
          <w:b/>
          <w:sz w:val="28"/>
          <w:szCs w:val="28"/>
        </w:rPr>
      </w:pPr>
    </w:p>
    <w:p w14:paraId="512D28CC" w14:textId="77777777" w:rsidR="00E32AE5" w:rsidRDefault="00E32AE5" w:rsidP="003828CF">
      <w:pPr>
        <w:jc w:val="center"/>
        <w:rPr>
          <w:b/>
          <w:sz w:val="28"/>
          <w:szCs w:val="28"/>
        </w:rPr>
      </w:pPr>
    </w:p>
    <w:p w14:paraId="4C82F73F" w14:textId="77777777" w:rsidR="00E32AE5" w:rsidRDefault="00E32AE5" w:rsidP="003828CF">
      <w:pPr>
        <w:jc w:val="center"/>
        <w:rPr>
          <w:b/>
          <w:sz w:val="28"/>
          <w:szCs w:val="28"/>
        </w:rPr>
      </w:pPr>
    </w:p>
    <w:p w14:paraId="4C27B0DB" w14:textId="77777777" w:rsidR="00E32AE5" w:rsidRPr="00380699" w:rsidRDefault="00E32AE5" w:rsidP="00380699">
      <w:pPr>
        <w:rPr>
          <w:b/>
          <w:i/>
          <w:iCs/>
          <w:sz w:val="28"/>
          <w:szCs w:val="28"/>
        </w:rPr>
      </w:pPr>
    </w:p>
    <w:p w14:paraId="2AE94152" w14:textId="7EC9CA78" w:rsidR="00424DCF" w:rsidRPr="00380699" w:rsidRDefault="00E32AE5" w:rsidP="00380699">
      <w:pPr>
        <w:rPr>
          <w:i/>
          <w:iCs/>
        </w:rPr>
        <w:sectPr w:rsidR="00424DCF" w:rsidRPr="00380699" w:rsidSect="00380699">
          <w:headerReference w:type="default" r:id="rId9"/>
          <w:footerReference w:type="default" r:id="rId10"/>
          <w:footerReference w:type="first" r:id="rId11"/>
          <w:pgSz w:w="12240" w:h="15840" w:code="1"/>
          <w:pgMar w:top="1440" w:right="1440" w:bottom="1440" w:left="1440" w:header="709" w:footer="709" w:gutter="0"/>
          <w:cols w:space="708"/>
          <w:titlePg/>
          <w:docGrid w:linePitch="360"/>
        </w:sectPr>
      </w:pPr>
      <w:r w:rsidRPr="00380699">
        <w:rPr>
          <w:i/>
          <w:iCs/>
        </w:rPr>
        <w:t xml:space="preserve">This Guide was originally prepared by Richard </w:t>
      </w:r>
      <w:proofErr w:type="spellStart"/>
      <w:r w:rsidRPr="00380699">
        <w:rPr>
          <w:i/>
          <w:iCs/>
        </w:rPr>
        <w:t>Steinecke</w:t>
      </w:r>
      <w:proofErr w:type="spellEnd"/>
      <w:r w:rsidRPr="00380699">
        <w:rPr>
          <w:i/>
          <w:iCs/>
        </w:rPr>
        <w:t xml:space="preserve"> in 2004 and </w:t>
      </w:r>
      <w:r w:rsidR="00424DCF" w:rsidRPr="00380699">
        <w:rPr>
          <w:i/>
          <w:iCs/>
        </w:rPr>
        <w:t>was</w:t>
      </w:r>
      <w:r w:rsidRPr="00380699">
        <w:rPr>
          <w:i/>
          <w:iCs/>
        </w:rPr>
        <w:t xml:space="preserve"> updated </w:t>
      </w:r>
      <w:r w:rsidR="00424DCF" w:rsidRPr="00380699">
        <w:rPr>
          <w:i/>
          <w:iCs/>
        </w:rPr>
        <w:t xml:space="preserve">in 2013 and 2016 </w:t>
      </w:r>
      <w:r w:rsidRPr="00380699">
        <w:rPr>
          <w:i/>
          <w:iCs/>
        </w:rPr>
        <w:t>by Erica Richler</w:t>
      </w:r>
      <w:r w:rsidR="00644816" w:rsidRPr="00380699">
        <w:rPr>
          <w:i/>
          <w:iCs/>
        </w:rPr>
        <w:t xml:space="preserve"> and in 2020 by Richard </w:t>
      </w:r>
      <w:proofErr w:type="spellStart"/>
      <w:r w:rsidR="00644816" w:rsidRPr="00380699">
        <w:rPr>
          <w:i/>
          <w:iCs/>
        </w:rPr>
        <w:t>Steinecke</w:t>
      </w:r>
      <w:proofErr w:type="spellEnd"/>
      <w:r w:rsidRPr="00380699">
        <w:rPr>
          <w:i/>
          <w:iCs/>
        </w:rPr>
        <w:t xml:space="preserve">.  </w:t>
      </w:r>
      <w:r w:rsidR="00380699" w:rsidRPr="00380699">
        <w:rPr>
          <w:i/>
          <w:iCs/>
        </w:rPr>
        <w:br/>
      </w:r>
      <w:r w:rsidRPr="00380699">
        <w:rPr>
          <w:i/>
          <w:iCs/>
        </w:rPr>
        <w:t>Original Work Copyright © 20</w:t>
      </w:r>
      <w:r w:rsidR="00644816" w:rsidRPr="00380699">
        <w:rPr>
          <w:i/>
          <w:iCs/>
        </w:rPr>
        <w:t>20</w:t>
      </w:r>
      <w:r w:rsidRPr="00380699">
        <w:rPr>
          <w:i/>
          <w:iCs/>
        </w:rPr>
        <w:t xml:space="preserve"> by </w:t>
      </w:r>
      <w:proofErr w:type="spellStart"/>
      <w:r w:rsidRPr="00380699">
        <w:rPr>
          <w:i/>
          <w:iCs/>
        </w:rPr>
        <w:t>Steinecke</w:t>
      </w:r>
      <w:proofErr w:type="spellEnd"/>
      <w:r w:rsidRPr="00380699">
        <w:rPr>
          <w:i/>
          <w:iCs/>
        </w:rPr>
        <w:t xml:space="preserve"> </w:t>
      </w:r>
      <w:proofErr w:type="spellStart"/>
      <w:r w:rsidRPr="00380699">
        <w:rPr>
          <w:i/>
          <w:iCs/>
        </w:rPr>
        <w:t>Maciura</w:t>
      </w:r>
      <w:proofErr w:type="spellEnd"/>
      <w:r w:rsidRPr="00380699">
        <w:rPr>
          <w:i/>
          <w:iCs/>
        </w:rPr>
        <w:t xml:space="preserve"> LeBlanc.</w:t>
      </w:r>
    </w:p>
    <w:sdt>
      <w:sdtPr>
        <w:rPr>
          <w:rFonts w:asciiTheme="minorHAnsi" w:eastAsiaTheme="minorHAnsi" w:hAnsiTheme="minorHAnsi" w:cstheme="minorBidi"/>
          <w:b w:val="0"/>
          <w:bCs w:val="0"/>
          <w:color w:val="auto"/>
          <w:sz w:val="24"/>
          <w:szCs w:val="22"/>
          <w:lang w:val="en-CA" w:eastAsia="en-US"/>
        </w:rPr>
        <w:id w:val="1728802507"/>
        <w:docPartObj>
          <w:docPartGallery w:val="Table of Contents"/>
          <w:docPartUnique/>
        </w:docPartObj>
      </w:sdtPr>
      <w:sdtEndPr>
        <w:rPr>
          <w:noProof/>
        </w:rPr>
      </w:sdtEndPr>
      <w:sdtContent>
        <w:p w14:paraId="517BC0DA" w14:textId="77777777" w:rsidR="00424DCF" w:rsidRPr="004522B0" w:rsidRDefault="00424DCF">
          <w:pPr>
            <w:pStyle w:val="TOCHeading"/>
            <w:rPr>
              <w:rFonts w:asciiTheme="minorHAnsi" w:hAnsiTheme="minorHAnsi"/>
              <w:color w:val="auto"/>
            </w:rPr>
          </w:pPr>
          <w:r w:rsidRPr="004522B0">
            <w:rPr>
              <w:rFonts w:asciiTheme="minorHAnsi" w:hAnsiTheme="minorHAnsi"/>
              <w:color w:val="auto"/>
            </w:rPr>
            <w:t>Contents</w:t>
          </w:r>
        </w:p>
        <w:p w14:paraId="13A251C6" w14:textId="77777777" w:rsidR="00424DCF" w:rsidRDefault="00424DCF">
          <w:pPr>
            <w:pStyle w:val="TOC1"/>
            <w:tabs>
              <w:tab w:val="right" w:leader="dot" w:pos="9350"/>
            </w:tabs>
            <w:rPr>
              <w:noProof/>
            </w:rPr>
          </w:pPr>
          <w:r>
            <w:fldChar w:fldCharType="begin"/>
          </w:r>
          <w:r>
            <w:instrText xml:space="preserve"> TOC \o "1-3" \h \z \u </w:instrText>
          </w:r>
          <w:r>
            <w:fldChar w:fldCharType="separate"/>
          </w:r>
          <w:hyperlink w:anchor="_Toc454811769" w:history="1">
            <w:r w:rsidRPr="00F2138C">
              <w:rPr>
                <w:rStyle w:val="Hyperlink"/>
                <w:noProof/>
              </w:rPr>
              <w:t>Introduction - Purpose of This Guide</w:t>
            </w:r>
            <w:r>
              <w:rPr>
                <w:noProof/>
                <w:webHidden/>
              </w:rPr>
              <w:tab/>
            </w:r>
            <w:r>
              <w:rPr>
                <w:noProof/>
                <w:webHidden/>
              </w:rPr>
              <w:fldChar w:fldCharType="begin"/>
            </w:r>
            <w:r>
              <w:rPr>
                <w:noProof/>
                <w:webHidden/>
              </w:rPr>
              <w:instrText xml:space="preserve"> PAGEREF _Toc454811769 \h </w:instrText>
            </w:r>
            <w:r>
              <w:rPr>
                <w:noProof/>
                <w:webHidden/>
              </w:rPr>
            </w:r>
            <w:r>
              <w:rPr>
                <w:noProof/>
                <w:webHidden/>
              </w:rPr>
              <w:fldChar w:fldCharType="separate"/>
            </w:r>
            <w:r w:rsidR="00644816">
              <w:rPr>
                <w:noProof/>
                <w:webHidden/>
              </w:rPr>
              <w:t>1</w:t>
            </w:r>
            <w:r>
              <w:rPr>
                <w:noProof/>
                <w:webHidden/>
              </w:rPr>
              <w:fldChar w:fldCharType="end"/>
            </w:r>
          </w:hyperlink>
        </w:p>
        <w:p w14:paraId="5527E5F4" w14:textId="77777777" w:rsidR="00424DCF" w:rsidRDefault="00CE0576">
          <w:pPr>
            <w:pStyle w:val="TOC2"/>
            <w:tabs>
              <w:tab w:val="right" w:leader="dot" w:pos="9350"/>
            </w:tabs>
            <w:rPr>
              <w:noProof/>
            </w:rPr>
          </w:pPr>
          <w:hyperlink w:anchor="_Toc454811770" w:history="1">
            <w:r w:rsidR="00424DCF" w:rsidRPr="00F2138C">
              <w:rPr>
                <w:rStyle w:val="Hyperlink"/>
                <w:noProof/>
              </w:rPr>
              <w:t>How to Use this Guide</w:t>
            </w:r>
            <w:r w:rsidR="00424DCF">
              <w:rPr>
                <w:noProof/>
                <w:webHidden/>
              </w:rPr>
              <w:tab/>
            </w:r>
            <w:r w:rsidR="00424DCF">
              <w:rPr>
                <w:noProof/>
                <w:webHidden/>
              </w:rPr>
              <w:fldChar w:fldCharType="begin"/>
            </w:r>
            <w:r w:rsidR="00424DCF">
              <w:rPr>
                <w:noProof/>
                <w:webHidden/>
              </w:rPr>
              <w:instrText xml:space="preserve"> PAGEREF _Toc454811770 \h </w:instrText>
            </w:r>
            <w:r w:rsidR="00424DCF">
              <w:rPr>
                <w:noProof/>
                <w:webHidden/>
              </w:rPr>
            </w:r>
            <w:r w:rsidR="00424DCF">
              <w:rPr>
                <w:noProof/>
                <w:webHidden/>
              </w:rPr>
              <w:fldChar w:fldCharType="separate"/>
            </w:r>
            <w:r w:rsidR="00644816">
              <w:rPr>
                <w:noProof/>
                <w:webHidden/>
              </w:rPr>
              <w:t>2</w:t>
            </w:r>
            <w:r w:rsidR="00424DCF">
              <w:rPr>
                <w:noProof/>
                <w:webHidden/>
              </w:rPr>
              <w:fldChar w:fldCharType="end"/>
            </w:r>
          </w:hyperlink>
        </w:p>
        <w:p w14:paraId="76ADB75A" w14:textId="77777777" w:rsidR="00424DCF" w:rsidRDefault="00CE0576">
          <w:pPr>
            <w:pStyle w:val="TOC1"/>
            <w:tabs>
              <w:tab w:val="right" w:leader="dot" w:pos="9350"/>
            </w:tabs>
            <w:rPr>
              <w:noProof/>
            </w:rPr>
          </w:pPr>
          <w:hyperlink w:anchor="_Toc454811771" w:history="1">
            <w:r w:rsidR="00424DCF" w:rsidRPr="00F2138C">
              <w:rPr>
                <w:rStyle w:val="Hyperlink"/>
                <w:noProof/>
              </w:rPr>
              <w:t>Step 1 – Designate Your Organization’s Contact Person</w:t>
            </w:r>
            <w:r w:rsidR="00424DCF">
              <w:rPr>
                <w:noProof/>
                <w:webHidden/>
              </w:rPr>
              <w:tab/>
            </w:r>
            <w:r w:rsidR="00424DCF">
              <w:rPr>
                <w:noProof/>
                <w:webHidden/>
              </w:rPr>
              <w:fldChar w:fldCharType="begin"/>
            </w:r>
            <w:r w:rsidR="00424DCF">
              <w:rPr>
                <w:noProof/>
                <w:webHidden/>
              </w:rPr>
              <w:instrText xml:space="preserve"> PAGEREF _Toc454811771 \h </w:instrText>
            </w:r>
            <w:r w:rsidR="00424DCF">
              <w:rPr>
                <w:noProof/>
                <w:webHidden/>
              </w:rPr>
            </w:r>
            <w:r w:rsidR="00424DCF">
              <w:rPr>
                <w:noProof/>
                <w:webHidden/>
              </w:rPr>
              <w:fldChar w:fldCharType="separate"/>
            </w:r>
            <w:r w:rsidR="00644816">
              <w:rPr>
                <w:noProof/>
                <w:webHidden/>
              </w:rPr>
              <w:t>3</w:t>
            </w:r>
            <w:r w:rsidR="00424DCF">
              <w:rPr>
                <w:noProof/>
                <w:webHidden/>
              </w:rPr>
              <w:fldChar w:fldCharType="end"/>
            </w:r>
          </w:hyperlink>
        </w:p>
        <w:p w14:paraId="015FDF40" w14:textId="77777777" w:rsidR="00424DCF" w:rsidRDefault="00CE0576">
          <w:pPr>
            <w:pStyle w:val="TOC2"/>
            <w:tabs>
              <w:tab w:val="right" w:leader="dot" w:pos="9350"/>
            </w:tabs>
            <w:rPr>
              <w:noProof/>
            </w:rPr>
          </w:pPr>
          <w:hyperlink w:anchor="_Toc454811772" w:history="1">
            <w:r w:rsidR="00424DCF" w:rsidRPr="00F2138C">
              <w:rPr>
                <w:rStyle w:val="Hyperlink"/>
                <w:noProof/>
              </w:rPr>
              <w:t>(a) Identifying Your Organization</w:t>
            </w:r>
            <w:r w:rsidR="00424DCF">
              <w:rPr>
                <w:noProof/>
                <w:webHidden/>
              </w:rPr>
              <w:tab/>
            </w:r>
            <w:r w:rsidR="00424DCF">
              <w:rPr>
                <w:noProof/>
                <w:webHidden/>
              </w:rPr>
              <w:fldChar w:fldCharType="begin"/>
            </w:r>
            <w:r w:rsidR="00424DCF">
              <w:rPr>
                <w:noProof/>
                <w:webHidden/>
              </w:rPr>
              <w:instrText xml:space="preserve"> PAGEREF _Toc454811772 \h </w:instrText>
            </w:r>
            <w:r w:rsidR="00424DCF">
              <w:rPr>
                <w:noProof/>
                <w:webHidden/>
              </w:rPr>
            </w:r>
            <w:r w:rsidR="00424DCF">
              <w:rPr>
                <w:noProof/>
                <w:webHidden/>
              </w:rPr>
              <w:fldChar w:fldCharType="separate"/>
            </w:r>
            <w:r w:rsidR="00644816">
              <w:rPr>
                <w:noProof/>
                <w:webHidden/>
              </w:rPr>
              <w:t>3</w:t>
            </w:r>
            <w:r w:rsidR="00424DCF">
              <w:rPr>
                <w:noProof/>
                <w:webHidden/>
              </w:rPr>
              <w:fldChar w:fldCharType="end"/>
            </w:r>
          </w:hyperlink>
        </w:p>
        <w:p w14:paraId="56044EEC" w14:textId="77777777" w:rsidR="00424DCF" w:rsidRDefault="00CE0576">
          <w:pPr>
            <w:pStyle w:val="TOC2"/>
            <w:tabs>
              <w:tab w:val="right" w:leader="dot" w:pos="9350"/>
            </w:tabs>
            <w:rPr>
              <w:noProof/>
            </w:rPr>
          </w:pPr>
          <w:hyperlink w:anchor="_Toc454811773" w:history="1">
            <w:r w:rsidR="00424DCF" w:rsidRPr="00F2138C">
              <w:rPr>
                <w:rStyle w:val="Hyperlink"/>
                <w:noProof/>
              </w:rPr>
              <w:t>(b) Selecting Your Information Officer / Contact Person</w:t>
            </w:r>
            <w:r w:rsidR="00424DCF">
              <w:rPr>
                <w:noProof/>
                <w:webHidden/>
              </w:rPr>
              <w:tab/>
            </w:r>
            <w:r w:rsidR="00424DCF">
              <w:rPr>
                <w:noProof/>
                <w:webHidden/>
              </w:rPr>
              <w:fldChar w:fldCharType="begin"/>
            </w:r>
            <w:r w:rsidR="00424DCF">
              <w:rPr>
                <w:noProof/>
                <w:webHidden/>
              </w:rPr>
              <w:instrText xml:space="preserve"> PAGEREF _Toc454811773 \h </w:instrText>
            </w:r>
            <w:r w:rsidR="00424DCF">
              <w:rPr>
                <w:noProof/>
                <w:webHidden/>
              </w:rPr>
            </w:r>
            <w:r w:rsidR="00424DCF">
              <w:rPr>
                <w:noProof/>
                <w:webHidden/>
              </w:rPr>
              <w:fldChar w:fldCharType="separate"/>
            </w:r>
            <w:r w:rsidR="00644816">
              <w:rPr>
                <w:noProof/>
                <w:webHidden/>
              </w:rPr>
              <w:t>4</w:t>
            </w:r>
            <w:r w:rsidR="00424DCF">
              <w:rPr>
                <w:noProof/>
                <w:webHidden/>
              </w:rPr>
              <w:fldChar w:fldCharType="end"/>
            </w:r>
          </w:hyperlink>
        </w:p>
        <w:p w14:paraId="7E54A82C" w14:textId="77777777" w:rsidR="00424DCF" w:rsidRDefault="00CE0576">
          <w:pPr>
            <w:pStyle w:val="TOC1"/>
            <w:tabs>
              <w:tab w:val="right" w:leader="dot" w:pos="9350"/>
            </w:tabs>
            <w:rPr>
              <w:noProof/>
            </w:rPr>
          </w:pPr>
          <w:hyperlink w:anchor="_Toc454811774" w:history="1">
            <w:r w:rsidR="00424DCF" w:rsidRPr="00F2138C">
              <w:rPr>
                <w:rStyle w:val="Hyperlink"/>
                <w:noProof/>
              </w:rPr>
              <w:t>Step 2 – Inventory the Information to be Covered by the Privacy Plan</w:t>
            </w:r>
            <w:r w:rsidR="00424DCF">
              <w:rPr>
                <w:noProof/>
                <w:webHidden/>
              </w:rPr>
              <w:tab/>
            </w:r>
            <w:r w:rsidR="00424DCF">
              <w:rPr>
                <w:noProof/>
                <w:webHidden/>
              </w:rPr>
              <w:fldChar w:fldCharType="begin"/>
            </w:r>
            <w:r w:rsidR="00424DCF">
              <w:rPr>
                <w:noProof/>
                <w:webHidden/>
              </w:rPr>
              <w:instrText xml:space="preserve"> PAGEREF _Toc454811774 \h </w:instrText>
            </w:r>
            <w:r w:rsidR="00424DCF">
              <w:rPr>
                <w:noProof/>
                <w:webHidden/>
              </w:rPr>
            </w:r>
            <w:r w:rsidR="00424DCF">
              <w:rPr>
                <w:noProof/>
                <w:webHidden/>
              </w:rPr>
              <w:fldChar w:fldCharType="separate"/>
            </w:r>
            <w:r w:rsidR="00644816">
              <w:rPr>
                <w:noProof/>
                <w:webHidden/>
              </w:rPr>
              <w:t>5</w:t>
            </w:r>
            <w:r w:rsidR="00424DCF">
              <w:rPr>
                <w:noProof/>
                <w:webHidden/>
              </w:rPr>
              <w:fldChar w:fldCharType="end"/>
            </w:r>
          </w:hyperlink>
        </w:p>
        <w:p w14:paraId="10C48FA1" w14:textId="77777777" w:rsidR="00424DCF" w:rsidRDefault="00CE0576">
          <w:pPr>
            <w:pStyle w:val="TOC2"/>
            <w:tabs>
              <w:tab w:val="right" w:leader="dot" w:pos="9350"/>
            </w:tabs>
            <w:rPr>
              <w:noProof/>
            </w:rPr>
          </w:pPr>
          <w:hyperlink w:anchor="_Toc454811775" w:history="1">
            <w:r w:rsidR="00424DCF" w:rsidRPr="00F2138C">
              <w:rPr>
                <w:rStyle w:val="Hyperlink"/>
                <w:noProof/>
              </w:rPr>
              <w:t>(a) Personal Health Information</w:t>
            </w:r>
            <w:r w:rsidR="00424DCF">
              <w:rPr>
                <w:noProof/>
                <w:webHidden/>
              </w:rPr>
              <w:tab/>
            </w:r>
            <w:r w:rsidR="00424DCF">
              <w:rPr>
                <w:noProof/>
                <w:webHidden/>
              </w:rPr>
              <w:fldChar w:fldCharType="begin"/>
            </w:r>
            <w:r w:rsidR="00424DCF">
              <w:rPr>
                <w:noProof/>
                <w:webHidden/>
              </w:rPr>
              <w:instrText xml:space="preserve"> PAGEREF _Toc454811775 \h </w:instrText>
            </w:r>
            <w:r w:rsidR="00424DCF">
              <w:rPr>
                <w:noProof/>
                <w:webHidden/>
              </w:rPr>
            </w:r>
            <w:r w:rsidR="00424DCF">
              <w:rPr>
                <w:noProof/>
                <w:webHidden/>
              </w:rPr>
              <w:fldChar w:fldCharType="separate"/>
            </w:r>
            <w:r w:rsidR="00644816">
              <w:rPr>
                <w:noProof/>
                <w:webHidden/>
              </w:rPr>
              <w:t>5</w:t>
            </w:r>
            <w:r w:rsidR="00424DCF">
              <w:rPr>
                <w:noProof/>
                <w:webHidden/>
              </w:rPr>
              <w:fldChar w:fldCharType="end"/>
            </w:r>
          </w:hyperlink>
        </w:p>
        <w:p w14:paraId="5FC6DFD7" w14:textId="77777777" w:rsidR="00424DCF" w:rsidRDefault="00CE0576">
          <w:pPr>
            <w:pStyle w:val="TOC2"/>
            <w:tabs>
              <w:tab w:val="right" w:leader="dot" w:pos="9350"/>
            </w:tabs>
            <w:rPr>
              <w:noProof/>
            </w:rPr>
          </w:pPr>
          <w:hyperlink w:anchor="_Toc454811776" w:history="1">
            <w:r w:rsidR="00424DCF" w:rsidRPr="00F2138C">
              <w:rPr>
                <w:rStyle w:val="Hyperlink"/>
                <w:noProof/>
              </w:rPr>
              <w:t>(b) Inventory of Personal Health Information Collected</w:t>
            </w:r>
            <w:r w:rsidR="00424DCF">
              <w:rPr>
                <w:noProof/>
                <w:webHidden/>
              </w:rPr>
              <w:tab/>
            </w:r>
            <w:r w:rsidR="00424DCF">
              <w:rPr>
                <w:noProof/>
                <w:webHidden/>
              </w:rPr>
              <w:fldChar w:fldCharType="begin"/>
            </w:r>
            <w:r w:rsidR="00424DCF">
              <w:rPr>
                <w:noProof/>
                <w:webHidden/>
              </w:rPr>
              <w:instrText xml:space="preserve"> PAGEREF _Toc454811776 \h </w:instrText>
            </w:r>
            <w:r w:rsidR="00424DCF">
              <w:rPr>
                <w:noProof/>
                <w:webHidden/>
              </w:rPr>
            </w:r>
            <w:r w:rsidR="00424DCF">
              <w:rPr>
                <w:noProof/>
                <w:webHidden/>
              </w:rPr>
              <w:fldChar w:fldCharType="separate"/>
            </w:r>
            <w:r w:rsidR="00644816">
              <w:rPr>
                <w:noProof/>
                <w:webHidden/>
              </w:rPr>
              <w:t>5</w:t>
            </w:r>
            <w:r w:rsidR="00424DCF">
              <w:rPr>
                <w:noProof/>
                <w:webHidden/>
              </w:rPr>
              <w:fldChar w:fldCharType="end"/>
            </w:r>
          </w:hyperlink>
        </w:p>
        <w:p w14:paraId="6B861877" w14:textId="77777777" w:rsidR="00424DCF" w:rsidRDefault="00CE0576">
          <w:pPr>
            <w:pStyle w:val="TOC1"/>
            <w:tabs>
              <w:tab w:val="right" w:leader="dot" w:pos="9350"/>
            </w:tabs>
            <w:rPr>
              <w:noProof/>
            </w:rPr>
          </w:pPr>
          <w:hyperlink w:anchor="_Toc454811777" w:history="1">
            <w:r w:rsidR="00424DCF" w:rsidRPr="00F2138C">
              <w:rPr>
                <w:rStyle w:val="Hyperlink"/>
                <w:noProof/>
              </w:rPr>
              <w:t>Step 3 – Identify the Purposes for which you Collect, Use and Disclose Personal Health Information</w:t>
            </w:r>
            <w:r w:rsidR="00424DCF">
              <w:rPr>
                <w:noProof/>
                <w:webHidden/>
              </w:rPr>
              <w:tab/>
            </w:r>
            <w:r w:rsidR="00424DCF">
              <w:rPr>
                <w:noProof/>
                <w:webHidden/>
              </w:rPr>
              <w:fldChar w:fldCharType="begin"/>
            </w:r>
            <w:r w:rsidR="00424DCF">
              <w:rPr>
                <w:noProof/>
                <w:webHidden/>
              </w:rPr>
              <w:instrText xml:space="preserve"> PAGEREF _Toc454811777 \h </w:instrText>
            </w:r>
            <w:r w:rsidR="00424DCF">
              <w:rPr>
                <w:noProof/>
                <w:webHidden/>
              </w:rPr>
            </w:r>
            <w:r w:rsidR="00424DCF">
              <w:rPr>
                <w:noProof/>
                <w:webHidden/>
              </w:rPr>
              <w:fldChar w:fldCharType="separate"/>
            </w:r>
            <w:r w:rsidR="00644816">
              <w:rPr>
                <w:noProof/>
                <w:webHidden/>
              </w:rPr>
              <w:t>7</w:t>
            </w:r>
            <w:r w:rsidR="00424DCF">
              <w:rPr>
                <w:noProof/>
                <w:webHidden/>
              </w:rPr>
              <w:fldChar w:fldCharType="end"/>
            </w:r>
          </w:hyperlink>
        </w:p>
        <w:p w14:paraId="12657383" w14:textId="77777777" w:rsidR="00424DCF" w:rsidRDefault="00CE0576">
          <w:pPr>
            <w:pStyle w:val="TOC2"/>
            <w:tabs>
              <w:tab w:val="right" w:leader="dot" w:pos="9350"/>
            </w:tabs>
            <w:rPr>
              <w:noProof/>
            </w:rPr>
          </w:pPr>
          <w:hyperlink w:anchor="_Toc454811778" w:history="1">
            <w:r w:rsidR="00424DCF" w:rsidRPr="00F2138C">
              <w:rPr>
                <w:rStyle w:val="Hyperlink"/>
                <w:noProof/>
              </w:rPr>
              <w:t>(a) Principles of Identifying Purposes and Obtaining Consent</w:t>
            </w:r>
            <w:r w:rsidR="00424DCF">
              <w:rPr>
                <w:noProof/>
                <w:webHidden/>
              </w:rPr>
              <w:tab/>
            </w:r>
            <w:r w:rsidR="00424DCF">
              <w:rPr>
                <w:noProof/>
                <w:webHidden/>
              </w:rPr>
              <w:fldChar w:fldCharType="begin"/>
            </w:r>
            <w:r w:rsidR="00424DCF">
              <w:rPr>
                <w:noProof/>
                <w:webHidden/>
              </w:rPr>
              <w:instrText xml:space="preserve"> PAGEREF _Toc454811778 \h </w:instrText>
            </w:r>
            <w:r w:rsidR="00424DCF">
              <w:rPr>
                <w:noProof/>
                <w:webHidden/>
              </w:rPr>
            </w:r>
            <w:r w:rsidR="00424DCF">
              <w:rPr>
                <w:noProof/>
                <w:webHidden/>
              </w:rPr>
              <w:fldChar w:fldCharType="separate"/>
            </w:r>
            <w:r w:rsidR="00644816">
              <w:rPr>
                <w:noProof/>
                <w:webHidden/>
              </w:rPr>
              <w:t>7</w:t>
            </w:r>
            <w:r w:rsidR="00424DCF">
              <w:rPr>
                <w:noProof/>
                <w:webHidden/>
              </w:rPr>
              <w:fldChar w:fldCharType="end"/>
            </w:r>
          </w:hyperlink>
        </w:p>
        <w:p w14:paraId="590D19D1" w14:textId="77777777" w:rsidR="00424DCF" w:rsidRDefault="00CE0576">
          <w:pPr>
            <w:pStyle w:val="TOC2"/>
            <w:tabs>
              <w:tab w:val="right" w:leader="dot" w:pos="9350"/>
            </w:tabs>
            <w:rPr>
              <w:noProof/>
            </w:rPr>
          </w:pPr>
          <w:hyperlink w:anchor="_Toc454811779" w:history="1">
            <w:r w:rsidR="00424DCF" w:rsidRPr="00F2138C">
              <w:rPr>
                <w:rStyle w:val="Hyperlink"/>
                <w:noProof/>
              </w:rPr>
              <w:t>(b) Principles of Use and Disclosure</w:t>
            </w:r>
            <w:r w:rsidR="00424DCF">
              <w:rPr>
                <w:noProof/>
                <w:webHidden/>
              </w:rPr>
              <w:tab/>
            </w:r>
            <w:r w:rsidR="00424DCF">
              <w:rPr>
                <w:noProof/>
                <w:webHidden/>
              </w:rPr>
              <w:fldChar w:fldCharType="begin"/>
            </w:r>
            <w:r w:rsidR="00424DCF">
              <w:rPr>
                <w:noProof/>
                <w:webHidden/>
              </w:rPr>
              <w:instrText xml:space="preserve"> PAGEREF _Toc454811779 \h </w:instrText>
            </w:r>
            <w:r w:rsidR="00424DCF">
              <w:rPr>
                <w:noProof/>
                <w:webHidden/>
              </w:rPr>
            </w:r>
            <w:r w:rsidR="00424DCF">
              <w:rPr>
                <w:noProof/>
                <w:webHidden/>
              </w:rPr>
              <w:fldChar w:fldCharType="separate"/>
            </w:r>
            <w:r w:rsidR="00644816">
              <w:rPr>
                <w:noProof/>
                <w:webHidden/>
              </w:rPr>
              <w:t>9</w:t>
            </w:r>
            <w:r w:rsidR="00424DCF">
              <w:rPr>
                <w:noProof/>
                <w:webHidden/>
              </w:rPr>
              <w:fldChar w:fldCharType="end"/>
            </w:r>
          </w:hyperlink>
        </w:p>
        <w:p w14:paraId="66A44DBA" w14:textId="77777777" w:rsidR="00424DCF" w:rsidRDefault="00CE0576">
          <w:pPr>
            <w:pStyle w:val="TOC2"/>
            <w:tabs>
              <w:tab w:val="right" w:leader="dot" w:pos="9350"/>
            </w:tabs>
            <w:rPr>
              <w:noProof/>
            </w:rPr>
          </w:pPr>
          <w:hyperlink w:anchor="_Toc454811780" w:history="1">
            <w:r w:rsidR="00424DCF" w:rsidRPr="00F2138C">
              <w:rPr>
                <w:rStyle w:val="Hyperlink"/>
                <w:noProof/>
              </w:rPr>
              <w:t>(c) Primary Purpose for Collecting, Using and Disclosing Personal Health Information</w:t>
            </w:r>
            <w:r w:rsidR="00424DCF">
              <w:rPr>
                <w:noProof/>
                <w:webHidden/>
              </w:rPr>
              <w:tab/>
            </w:r>
            <w:r w:rsidR="00424DCF">
              <w:rPr>
                <w:noProof/>
                <w:webHidden/>
              </w:rPr>
              <w:fldChar w:fldCharType="begin"/>
            </w:r>
            <w:r w:rsidR="00424DCF">
              <w:rPr>
                <w:noProof/>
                <w:webHidden/>
              </w:rPr>
              <w:instrText xml:space="preserve"> PAGEREF _Toc454811780 \h </w:instrText>
            </w:r>
            <w:r w:rsidR="00424DCF">
              <w:rPr>
                <w:noProof/>
                <w:webHidden/>
              </w:rPr>
            </w:r>
            <w:r w:rsidR="00424DCF">
              <w:rPr>
                <w:noProof/>
                <w:webHidden/>
              </w:rPr>
              <w:fldChar w:fldCharType="separate"/>
            </w:r>
            <w:r w:rsidR="00644816">
              <w:rPr>
                <w:noProof/>
                <w:webHidden/>
              </w:rPr>
              <w:t>10</w:t>
            </w:r>
            <w:r w:rsidR="00424DCF">
              <w:rPr>
                <w:noProof/>
                <w:webHidden/>
              </w:rPr>
              <w:fldChar w:fldCharType="end"/>
            </w:r>
          </w:hyperlink>
        </w:p>
        <w:p w14:paraId="4846BA80" w14:textId="77777777" w:rsidR="00424DCF" w:rsidRDefault="00CE0576">
          <w:pPr>
            <w:pStyle w:val="TOC2"/>
            <w:tabs>
              <w:tab w:val="right" w:leader="dot" w:pos="9350"/>
            </w:tabs>
            <w:rPr>
              <w:noProof/>
            </w:rPr>
          </w:pPr>
          <w:hyperlink w:anchor="_Toc454811781" w:history="1">
            <w:r w:rsidR="00424DCF" w:rsidRPr="00F2138C">
              <w:rPr>
                <w:rStyle w:val="Hyperlink"/>
                <w:noProof/>
              </w:rPr>
              <w:t>(d) Related and Secondary Purposes</w:t>
            </w:r>
            <w:r w:rsidR="00424DCF">
              <w:rPr>
                <w:noProof/>
                <w:webHidden/>
              </w:rPr>
              <w:tab/>
            </w:r>
            <w:r w:rsidR="00424DCF">
              <w:rPr>
                <w:noProof/>
                <w:webHidden/>
              </w:rPr>
              <w:fldChar w:fldCharType="begin"/>
            </w:r>
            <w:r w:rsidR="00424DCF">
              <w:rPr>
                <w:noProof/>
                <w:webHidden/>
              </w:rPr>
              <w:instrText xml:space="preserve"> PAGEREF _Toc454811781 \h </w:instrText>
            </w:r>
            <w:r w:rsidR="00424DCF">
              <w:rPr>
                <w:noProof/>
                <w:webHidden/>
              </w:rPr>
            </w:r>
            <w:r w:rsidR="00424DCF">
              <w:rPr>
                <w:noProof/>
                <w:webHidden/>
              </w:rPr>
              <w:fldChar w:fldCharType="separate"/>
            </w:r>
            <w:r w:rsidR="00644816">
              <w:rPr>
                <w:noProof/>
                <w:webHidden/>
              </w:rPr>
              <w:t>11</w:t>
            </w:r>
            <w:r w:rsidR="00424DCF">
              <w:rPr>
                <w:noProof/>
                <w:webHidden/>
              </w:rPr>
              <w:fldChar w:fldCharType="end"/>
            </w:r>
          </w:hyperlink>
        </w:p>
        <w:p w14:paraId="5C6DA9D9" w14:textId="77777777" w:rsidR="00424DCF" w:rsidRDefault="00CE0576">
          <w:pPr>
            <w:pStyle w:val="TOC2"/>
            <w:tabs>
              <w:tab w:val="right" w:leader="dot" w:pos="9350"/>
            </w:tabs>
            <w:rPr>
              <w:noProof/>
            </w:rPr>
          </w:pPr>
          <w:hyperlink w:anchor="_Toc454811782" w:history="1">
            <w:r w:rsidR="00424DCF" w:rsidRPr="00F2138C">
              <w:rPr>
                <w:rStyle w:val="Hyperlink"/>
                <w:noProof/>
              </w:rPr>
              <w:t>(d) Review of Personal Health Information Collected</w:t>
            </w:r>
            <w:r w:rsidR="00424DCF">
              <w:rPr>
                <w:noProof/>
                <w:webHidden/>
              </w:rPr>
              <w:tab/>
            </w:r>
            <w:r w:rsidR="00424DCF">
              <w:rPr>
                <w:noProof/>
                <w:webHidden/>
              </w:rPr>
              <w:fldChar w:fldCharType="begin"/>
            </w:r>
            <w:r w:rsidR="00424DCF">
              <w:rPr>
                <w:noProof/>
                <w:webHidden/>
              </w:rPr>
              <w:instrText xml:space="preserve"> PAGEREF _Toc454811782 \h </w:instrText>
            </w:r>
            <w:r w:rsidR="00424DCF">
              <w:rPr>
                <w:noProof/>
                <w:webHidden/>
              </w:rPr>
            </w:r>
            <w:r w:rsidR="00424DCF">
              <w:rPr>
                <w:noProof/>
                <w:webHidden/>
              </w:rPr>
              <w:fldChar w:fldCharType="separate"/>
            </w:r>
            <w:r w:rsidR="00644816">
              <w:rPr>
                <w:noProof/>
                <w:webHidden/>
              </w:rPr>
              <w:t>13</w:t>
            </w:r>
            <w:r w:rsidR="00424DCF">
              <w:rPr>
                <w:noProof/>
                <w:webHidden/>
              </w:rPr>
              <w:fldChar w:fldCharType="end"/>
            </w:r>
          </w:hyperlink>
        </w:p>
        <w:p w14:paraId="7619D281" w14:textId="77777777" w:rsidR="00424DCF" w:rsidRDefault="00CE0576">
          <w:pPr>
            <w:pStyle w:val="TOC1"/>
            <w:tabs>
              <w:tab w:val="right" w:leader="dot" w:pos="9350"/>
            </w:tabs>
            <w:rPr>
              <w:noProof/>
            </w:rPr>
          </w:pPr>
          <w:hyperlink w:anchor="_Toc454811783" w:history="1">
            <w:r w:rsidR="00424DCF" w:rsidRPr="00F2138C">
              <w:rPr>
                <w:rStyle w:val="Hyperlink"/>
                <w:noProof/>
              </w:rPr>
              <w:t>Step 4 – Develop Practices Regarding Safeguards, Retention and Destruction</w:t>
            </w:r>
            <w:r w:rsidR="00424DCF">
              <w:rPr>
                <w:noProof/>
                <w:webHidden/>
              </w:rPr>
              <w:tab/>
            </w:r>
            <w:r w:rsidR="00424DCF">
              <w:rPr>
                <w:noProof/>
                <w:webHidden/>
              </w:rPr>
              <w:fldChar w:fldCharType="begin"/>
            </w:r>
            <w:r w:rsidR="00424DCF">
              <w:rPr>
                <w:noProof/>
                <w:webHidden/>
              </w:rPr>
              <w:instrText xml:space="preserve"> PAGEREF _Toc454811783 \h </w:instrText>
            </w:r>
            <w:r w:rsidR="00424DCF">
              <w:rPr>
                <w:noProof/>
                <w:webHidden/>
              </w:rPr>
            </w:r>
            <w:r w:rsidR="00424DCF">
              <w:rPr>
                <w:noProof/>
                <w:webHidden/>
              </w:rPr>
              <w:fldChar w:fldCharType="separate"/>
            </w:r>
            <w:r w:rsidR="00644816">
              <w:rPr>
                <w:noProof/>
                <w:webHidden/>
              </w:rPr>
              <w:t>14</w:t>
            </w:r>
            <w:r w:rsidR="00424DCF">
              <w:rPr>
                <w:noProof/>
                <w:webHidden/>
              </w:rPr>
              <w:fldChar w:fldCharType="end"/>
            </w:r>
          </w:hyperlink>
        </w:p>
        <w:p w14:paraId="57AD958C" w14:textId="77777777" w:rsidR="00424DCF" w:rsidRDefault="00CE0576">
          <w:pPr>
            <w:pStyle w:val="TOC2"/>
            <w:tabs>
              <w:tab w:val="right" w:leader="dot" w:pos="9350"/>
            </w:tabs>
            <w:rPr>
              <w:noProof/>
            </w:rPr>
          </w:pPr>
          <w:hyperlink w:anchor="_Toc454811784" w:history="1">
            <w:r w:rsidR="00424DCF" w:rsidRPr="00F2138C">
              <w:rPr>
                <w:rStyle w:val="Hyperlink"/>
                <w:noProof/>
              </w:rPr>
              <w:t>(a) Principles of Safeguarding Personal Information</w:t>
            </w:r>
            <w:r w:rsidR="00424DCF">
              <w:rPr>
                <w:noProof/>
                <w:webHidden/>
              </w:rPr>
              <w:tab/>
            </w:r>
            <w:r w:rsidR="00424DCF">
              <w:rPr>
                <w:noProof/>
                <w:webHidden/>
              </w:rPr>
              <w:fldChar w:fldCharType="begin"/>
            </w:r>
            <w:r w:rsidR="00424DCF">
              <w:rPr>
                <w:noProof/>
                <w:webHidden/>
              </w:rPr>
              <w:instrText xml:space="preserve"> PAGEREF _Toc454811784 \h </w:instrText>
            </w:r>
            <w:r w:rsidR="00424DCF">
              <w:rPr>
                <w:noProof/>
                <w:webHidden/>
              </w:rPr>
            </w:r>
            <w:r w:rsidR="00424DCF">
              <w:rPr>
                <w:noProof/>
                <w:webHidden/>
              </w:rPr>
              <w:fldChar w:fldCharType="separate"/>
            </w:r>
            <w:r w:rsidR="00644816">
              <w:rPr>
                <w:noProof/>
                <w:webHidden/>
              </w:rPr>
              <w:t>14</w:t>
            </w:r>
            <w:r w:rsidR="00424DCF">
              <w:rPr>
                <w:noProof/>
                <w:webHidden/>
              </w:rPr>
              <w:fldChar w:fldCharType="end"/>
            </w:r>
          </w:hyperlink>
        </w:p>
        <w:p w14:paraId="394F1146" w14:textId="77777777" w:rsidR="00424DCF" w:rsidRDefault="00CE0576">
          <w:pPr>
            <w:pStyle w:val="TOC2"/>
            <w:tabs>
              <w:tab w:val="right" w:leader="dot" w:pos="9350"/>
            </w:tabs>
            <w:rPr>
              <w:noProof/>
            </w:rPr>
          </w:pPr>
          <w:hyperlink w:anchor="_Toc454811785" w:history="1">
            <w:r w:rsidR="00424DCF" w:rsidRPr="00F2138C">
              <w:rPr>
                <w:rStyle w:val="Hyperlink"/>
                <w:noProof/>
              </w:rPr>
              <w:t>(b) Administrative, Technical and Physical Safeguards</w:t>
            </w:r>
            <w:r w:rsidR="00424DCF">
              <w:rPr>
                <w:noProof/>
                <w:webHidden/>
              </w:rPr>
              <w:tab/>
            </w:r>
            <w:r w:rsidR="00424DCF">
              <w:rPr>
                <w:noProof/>
                <w:webHidden/>
              </w:rPr>
              <w:fldChar w:fldCharType="begin"/>
            </w:r>
            <w:r w:rsidR="00424DCF">
              <w:rPr>
                <w:noProof/>
                <w:webHidden/>
              </w:rPr>
              <w:instrText xml:space="preserve"> PAGEREF _Toc454811785 \h </w:instrText>
            </w:r>
            <w:r w:rsidR="00424DCF">
              <w:rPr>
                <w:noProof/>
                <w:webHidden/>
              </w:rPr>
            </w:r>
            <w:r w:rsidR="00424DCF">
              <w:rPr>
                <w:noProof/>
                <w:webHidden/>
              </w:rPr>
              <w:fldChar w:fldCharType="separate"/>
            </w:r>
            <w:r w:rsidR="00644816">
              <w:rPr>
                <w:noProof/>
                <w:webHidden/>
              </w:rPr>
              <w:t>16</w:t>
            </w:r>
            <w:r w:rsidR="00424DCF">
              <w:rPr>
                <w:noProof/>
                <w:webHidden/>
              </w:rPr>
              <w:fldChar w:fldCharType="end"/>
            </w:r>
          </w:hyperlink>
        </w:p>
        <w:p w14:paraId="2956761C" w14:textId="77777777" w:rsidR="00424DCF" w:rsidRDefault="00CE0576">
          <w:pPr>
            <w:pStyle w:val="TOC2"/>
            <w:tabs>
              <w:tab w:val="right" w:leader="dot" w:pos="9350"/>
            </w:tabs>
            <w:rPr>
              <w:noProof/>
            </w:rPr>
          </w:pPr>
          <w:hyperlink w:anchor="_Toc454811786" w:history="1">
            <w:r w:rsidR="00424DCF" w:rsidRPr="00F2138C">
              <w:rPr>
                <w:rStyle w:val="Hyperlink"/>
                <w:noProof/>
              </w:rPr>
              <w:t>(c) Retention and Destruction of Personal Information</w:t>
            </w:r>
            <w:r w:rsidR="00424DCF">
              <w:rPr>
                <w:noProof/>
                <w:webHidden/>
              </w:rPr>
              <w:tab/>
            </w:r>
            <w:r w:rsidR="00424DCF">
              <w:rPr>
                <w:noProof/>
                <w:webHidden/>
              </w:rPr>
              <w:fldChar w:fldCharType="begin"/>
            </w:r>
            <w:r w:rsidR="00424DCF">
              <w:rPr>
                <w:noProof/>
                <w:webHidden/>
              </w:rPr>
              <w:instrText xml:space="preserve"> PAGEREF _Toc454811786 \h </w:instrText>
            </w:r>
            <w:r w:rsidR="00424DCF">
              <w:rPr>
                <w:noProof/>
                <w:webHidden/>
              </w:rPr>
            </w:r>
            <w:r w:rsidR="00424DCF">
              <w:rPr>
                <w:noProof/>
                <w:webHidden/>
              </w:rPr>
              <w:fldChar w:fldCharType="separate"/>
            </w:r>
            <w:r w:rsidR="00644816">
              <w:rPr>
                <w:noProof/>
                <w:webHidden/>
              </w:rPr>
              <w:t>20</w:t>
            </w:r>
            <w:r w:rsidR="00424DCF">
              <w:rPr>
                <w:noProof/>
                <w:webHidden/>
              </w:rPr>
              <w:fldChar w:fldCharType="end"/>
            </w:r>
          </w:hyperlink>
        </w:p>
        <w:p w14:paraId="74FDD52E" w14:textId="77777777" w:rsidR="00424DCF" w:rsidRDefault="00CE0576">
          <w:pPr>
            <w:pStyle w:val="TOC1"/>
            <w:tabs>
              <w:tab w:val="right" w:leader="dot" w:pos="9350"/>
            </w:tabs>
            <w:rPr>
              <w:noProof/>
            </w:rPr>
          </w:pPr>
          <w:hyperlink w:anchor="_Toc454811787" w:history="1">
            <w:r w:rsidR="00424DCF" w:rsidRPr="00F2138C">
              <w:rPr>
                <w:rStyle w:val="Hyperlink"/>
                <w:noProof/>
              </w:rPr>
              <w:t>Step 5 – Develop Practices Regarding Access, Correction and Complaints</w:t>
            </w:r>
            <w:r w:rsidR="00424DCF">
              <w:rPr>
                <w:noProof/>
                <w:webHidden/>
              </w:rPr>
              <w:tab/>
            </w:r>
            <w:r w:rsidR="00424DCF">
              <w:rPr>
                <w:noProof/>
                <w:webHidden/>
              </w:rPr>
              <w:fldChar w:fldCharType="begin"/>
            </w:r>
            <w:r w:rsidR="00424DCF">
              <w:rPr>
                <w:noProof/>
                <w:webHidden/>
              </w:rPr>
              <w:instrText xml:space="preserve"> PAGEREF _Toc454811787 \h </w:instrText>
            </w:r>
            <w:r w:rsidR="00424DCF">
              <w:rPr>
                <w:noProof/>
                <w:webHidden/>
              </w:rPr>
            </w:r>
            <w:r w:rsidR="00424DCF">
              <w:rPr>
                <w:noProof/>
                <w:webHidden/>
              </w:rPr>
              <w:fldChar w:fldCharType="separate"/>
            </w:r>
            <w:r w:rsidR="00644816">
              <w:rPr>
                <w:noProof/>
                <w:webHidden/>
              </w:rPr>
              <w:t>22</w:t>
            </w:r>
            <w:r w:rsidR="00424DCF">
              <w:rPr>
                <w:noProof/>
                <w:webHidden/>
              </w:rPr>
              <w:fldChar w:fldCharType="end"/>
            </w:r>
          </w:hyperlink>
        </w:p>
        <w:p w14:paraId="48E82AB7" w14:textId="77777777" w:rsidR="00424DCF" w:rsidRDefault="00CE0576">
          <w:pPr>
            <w:pStyle w:val="TOC2"/>
            <w:tabs>
              <w:tab w:val="right" w:leader="dot" w:pos="9350"/>
            </w:tabs>
            <w:rPr>
              <w:noProof/>
            </w:rPr>
          </w:pPr>
          <w:hyperlink w:anchor="_Toc454811788" w:history="1">
            <w:r w:rsidR="00424DCF" w:rsidRPr="00F2138C">
              <w:rPr>
                <w:rStyle w:val="Hyperlink"/>
                <w:noProof/>
              </w:rPr>
              <w:t>(a) Access Rights</w:t>
            </w:r>
            <w:r w:rsidR="00424DCF">
              <w:rPr>
                <w:noProof/>
                <w:webHidden/>
              </w:rPr>
              <w:tab/>
            </w:r>
            <w:r w:rsidR="00424DCF">
              <w:rPr>
                <w:noProof/>
                <w:webHidden/>
              </w:rPr>
              <w:fldChar w:fldCharType="begin"/>
            </w:r>
            <w:r w:rsidR="00424DCF">
              <w:rPr>
                <w:noProof/>
                <w:webHidden/>
              </w:rPr>
              <w:instrText xml:space="preserve"> PAGEREF _Toc454811788 \h </w:instrText>
            </w:r>
            <w:r w:rsidR="00424DCF">
              <w:rPr>
                <w:noProof/>
                <w:webHidden/>
              </w:rPr>
            </w:r>
            <w:r w:rsidR="00424DCF">
              <w:rPr>
                <w:noProof/>
                <w:webHidden/>
              </w:rPr>
              <w:fldChar w:fldCharType="separate"/>
            </w:r>
            <w:r w:rsidR="00644816">
              <w:rPr>
                <w:noProof/>
                <w:webHidden/>
              </w:rPr>
              <w:t>22</w:t>
            </w:r>
            <w:r w:rsidR="00424DCF">
              <w:rPr>
                <w:noProof/>
                <w:webHidden/>
              </w:rPr>
              <w:fldChar w:fldCharType="end"/>
            </w:r>
          </w:hyperlink>
        </w:p>
        <w:p w14:paraId="0DBB82A1" w14:textId="77777777" w:rsidR="00424DCF" w:rsidRDefault="00CE0576">
          <w:pPr>
            <w:pStyle w:val="TOC2"/>
            <w:tabs>
              <w:tab w:val="right" w:leader="dot" w:pos="9350"/>
            </w:tabs>
            <w:rPr>
              <w:noProof/>
            </w:rPr>
          </w:pPr>
          <w:hyperlink w:anchor="_Toc454811789" w:history="1">
            <w:r w:rsidR="00424DCF" w:rsidRPr="00F2138C">
              <w:rPr>
                <w:rStyle w:val="Hyperlink"/>
                <w:noProof/>
              </w:rPr>
              <w:t>(b) Correction Rights</w:t>
            </w:r>
            <w:r w:rsidR="00424DCF">
              <w:rPr>
                <w:noProof/>
                <w:webHidden/>
              </w:rPr>
              <w:tab/>
            </w:r>
            <w:r w:rsidR="00424DCF">
              <w:rPr>
                <w:noProof/>
                <w:webHidden/>
              </w:rPr>
              <w:fldChar w:fldCharType="begin"/>
            </w:r>
            <w:r w:rsidR="00424DCF">
              <w:rPr>
                <w:noProof/>
                <w:webHidden/>
              </w:rPr>
              <w:instrText xml:space="preserve"> PAGEREF _Toc454811789 \h </w:instrText>
            </w:r>
            <w:r w:rsidR="00424DCF">
              <w:rPr>
                <w:noProof/>
                <w:webHidden/>
              </w:rPr>
            </w:r>
            <w:r w:rsidR="00424DCF">
              <w:rPr>
                <w:noProof/>
                <w:webHidden/>
              </w:rPr>
              <w:fldChar w:fldCharType="separate"/>
            </w:r>
            <w:r w:rsidR="00644816">
              <w:rPr>
                <w:noProof/>
                <w:webHidden/>
              </w:rPr>
              <w:t>23</w:t>
            </w:r>
            <w:r w:rsidR="00424DCF">
              <w:rPr>
                <w:noProof/>
                <w:webHidden/>
              </w:rPr>
              <w:fldChar w:fldCharType="end"/>
            </w:r>
          </w:hyperlink>
        </w:p>
        <w:p w14:paraId="6D8F0D4A" w14:textId="77777777" w:rsidR="00424DCF" w:rsidRDefault="00CE0576">
          <w:pPr>
            <w:pStyle w:val="TOC2"/>
            <w:tabs>
              <w:tab w:val="right" w:leader="dot" w:pos="9350"/>
            </w:tabs>
            <w:rPr>
              <w:noProof/>
            </w:rPr>
          </w:pPr>
          <w:hyperlink w:anchor="_Toc454811790" w:history="1">
            <w:r w:rsidR="00424DCF" w:rsidRPr="00F2138C">
              <w:rPr>
                <w:rStyle w:val="Hyperlink"/>
                <w:noProof/>
              </w:rPr>
              <w:t>(c) Complaints System</w:t>
            </w:r>
            <w:r w:rsidR="00424DCF">
              <w:rPr>
                <w:noProof/>
                <w:webHidden/>
              </w:rPr>
              <w:tab/>
            </w:r>
            <w:r w:rsidR="00424DCF">
              <w:rPr>
                <w:noProof/>
                <w:webHidden/>
              </w:rPr>
              <w:fldChar w:fldCharType="begin"/>
            </w:r>
            <w:r w:rsidR="00424DCF">
              <w:rPr>
                <w:noProof/>
                <w:webHidden/>
              </w:rPr>
              <w:instrText xml:space="preserve"> PAGEREF _Toc454811790 \h </w:instrText>
            </w:r>
            <w:r w:rsidR="00424DCF">
              <w:rPr>
                <w:noProof/>
                <w:webHidden/>
              </w:rPr>
            </w:r>
            <w:r w:rsidR="00424DCF">
              <w:rPr>
                <w:noProof/>
                <w:webHidden/>
              </w:rPr>
              <w:fldChar w:fldCharType="separate"/>
            </w:r>
            <w:r w:rsidR="00644816">
              <w:rPr>
                <w:noProof/>
                <w:webHidden/>
              </w:rPr>
              <w:t>23</w:t>
            </w:r>
            <w:r w:rsidR="00424DCF">
              <w:rPr>
                <w:noProof/>
                <w:webHidden/>
              </w:rPr>
              <w:fldChar w:fldCharType="end"/>
            </w:r>
          </w:hyperlink>
        </w:p>
        <w:p w14:paraId="23FDAF91" w14:textId="77777777" w:rsidR="00424DCF" w:rsidRDefault="00CE0576">
          <w:pPr>
            <w:pStyle w:val="TOC1"/>
            <w:tabs>
              <w:tab w:val="right" w:leader="dot" w:pos="9350"/>
            </w:tabs>
            <w:rPr>
              <w:noProof/>
            </w:rPr>
          </w:pPr>
          <w:hyperlink w:anchor="_Toc454811791" w:history="1">
            <w:r w:rsidR="00424DCF" w:rsidRPr="00F2138C">
              <w:rPr>
                <w:rStyle w:val="Hyperlink"/>
                <w:noProof/>
              </w:rPr>
              <w:t>Step 6 – Establish a Privacy Breach Protocol</w:t>
            </w:r>
            <w:r w:rsidR="00424DCF">
              <w:rPr>
                <w:noProof/>
                <w:webHidden/>
              </w:rPr>
              <w:tab/>
            </w:r>
            <w:r w:rsidR="00424DCF">
              <w:rPr>
                <w:noProof/>
                <w:webHidden/>
              </w:rPr>
              <w:fldChar w:fldCharType="begin"/>
            </w:r>
            <w:r w:rsidR="00424DCF">
              <w:rPr>
                <w:noProof/>
                <w:webHidden/>
              </w:rPr>
              <w:instrText xml:space="preserve"> PAGEREF _Toc454811791 \h </w:instrText>
            </w:r>
            <w:r w:rsidR="00424DCF">
              <w:rPr>
                <w:noProof/>
                <w:webHidden/>
              </w:rPr>
            </w:r>
            <w:r w:rsidR="00424DCF">
              <w:rPr>
                <w:noProof/>
                <w:webHidden/>
              </w:rPr>
              <w:fldChar w:fldCharType="separate"/>
            </w:r>
            <w:r w:rsidR="00644816">
              <w:rPr>
                <w:noProof/>
                <w:webHidden/>
              </w:rPr>
              <w:t>26</w:t>
            </w:r>
            <w:r w:rsidR="00424DCF">
              <w:rPr>
                <w:noProof/>
                <w:webHidden/>
              </w:rPr>
              <w:fldChar w:fldCharType="end"/>
            </w:r>
          </w:hyperlink>
        </w:p>
        <w:p w14:paraId="564525DE" w14:textId="77777777" w:rsidR="00424DCF" w:rsidRDefault="00CE0576">
          <w:pPr>
            <w:pStyle w:val="TOC1"/>
            <w:tabs>
              <w:tab w:val="right" w:leader="dot" w:pos="9350"/>
            </w:tabs>
            <w:rPr>
              <w:noProof/>
            </w:rPr>
          </w:pPr>
          <w:hyperlink w:anchor="_Toc454811792" w:history="1">
            <w:r w:rsidR="00424DCF" w:rsidRPr="00F2138C">
              <w:rPr>
                <w:rStyle w:val="Hyperlink"/>
                <w:noProof/>
              </w:rPr>
              <w:t>Step 7 – Implement Your Privacy Plan</w:t>
            </w:r>
            <w:r w:rsidR="00424DCF">
              <w:rPr>
                <w:noProof/>
                <w:webHidden/>
              </w:rPr>
              <w:tab/>
            </w:r>
            <w:r w:rsidR="00424DCF">
              <w:rPr>
                <w:noProof/>
                <w:webHidden/>
              </w:rPr>
              <w:fldChar w:fldCharType="begin"/>
            </w:r>
            <w:r w:rsidR="00424DCF">
              <w:rPr>
                <w:noProof/>
                <w:webHidden/>
              </w:rPr>
              <w:instrText xml:space="preserve"> PAGEREF _Toc454811792 \h </w:instrText>
            </w:r>
            <w:r w:rsidR="00424DCF">
              <w:rPr>
                <w:noProof/>
                <w:webHidden/>
              </w:rPr>
            </w:r>
            <w:r w:rsidR="00424DCF">
              <w:rPr>
                <w:noProof/>
                <w:webHidden/>
              </w:rPr>
              <w:fldChar w:fldCharType="separate"/>
            </w:r>
            <w:r w:rsidR="00644816">
              <w:rPr>
                <w:noProof/>
                <w:webHidden/>
              </w:rPr>
              <w:t>28</w:t>
            </w:r>
            <w:r w:rsidR="00424DCF">
              <w:rPr>
                <w:noProof/>
                <w:webHidden/>
              </w:rPr>
              <w:fldChar w:fldCharType="end"/>
            </w:r>
          </w:hyperlink>
        </w:p>
        <w:p w14:paraId="35CA8779" w14:textId="77777777" w:rsidR="00424DCF" w:rsidRDefault="00CE0576">
          <w:pPr>
            <w:pStyle w:val="TOC1"/>
            <w:tabs>
              <w:tab w:val="right" w:leader="dot" w:pos="9350"/>
            </w:tabs>
            <w:rPr>
              <w:noProof/>
            </w:rPr>
          </w:pPr>
          <w:hyperlink w:anchor="_Toc454811793" w:history="1">
            <w:r w:rsidR="00424DCF" w:rsidRPr="00F2138C">
              <w:rPr>
                <w:rStyle w:val="Hyperlink"/>
                <w:noProof/>
              </w:rPr>
              <w:t>Form 1: Sample Written Public Statement (s. 16)</w:t>
            </w:r>
            <w:r w:rsidR="00424DCF">
              <w:rPr>
                <w:noProof/>
                <w:webHidden/>
              </w:rPr>
              <w:tab/>
            </w:r>
            <w:r w:rsidR="00424DCF">
              <w:rPr>
                <w:noProof/>
                <w:webHidden/>
              </w:rPr>
              <w:fldChar w:fldCharType="begin"/>
            </w:r>
            <w:r w:rsidR="00424DCF">
              <w:rPr>
                <w:noProof/>
                <w:webHidden/>
              </w:rPr>
              <w:instrText xml:space="preserve"> PAGEREF _Toc454811793 \h </w:instrText>
            </w:r>
            <w:r w:rsidR="00424DCF">
              <w:rPr>
                <w:noProof/>
                <w:webHidden/>
              </w:rPr>
            </w:r>
            <w:r w:rsidR="00424DCF">
              <w:rPr>
                <w:noProof/>
                <w:webHidden/>
              </w:rPr>
              <w:fldChar w:fldCharType="separate"/>
            </w:r>
            <w:r w:rsidR="00644816">
              <w:rPr>
                <w:noProof/>
                <w:webHidden/>
              </w:rPr>
              <w:t>29</w:t>
            </w:r>
            <w:r w:rsidR="00424DCF">
              <w:rPr>
                <w:noProof/>
                <w:webHidden/>
              </w:rPr>
              <w:fldChar w:fldCharType="end"/>
            </w:r>
          </w:hyperlink>
        </w:p>
        <w:p w14:paraId="35BBEDEC" w14:textId="77777777" w:rsidR="00424DCF" w:rsidRDefault="00CE0576">
          <w:pPr>
            <w:pStyle w:val="TOC1"/>
            <w:tabs>
              <w:tab w:val="right" w:leader="dot" w:pos="9350"/>
            </w:tabs>
            <w:rPr>
              <w:noProof/>
            </w:rPr>
          </w:pPr>
          <w:hyperlink w:anchor="_Toc454811794" w:history="1">
            <w:r w:rsidR="00424DCF" w:rsidRPr="00F2138C">
              <w:rPr>
                <w:rStyle w:val="Hyperlink"/>
                <w:noProof/>
              </w:rPr>
              <w:t>Form 2: Sample Privacy Policy for Regulated Health Professional</w:t>
            </w:r>
            <w:r w:rsidR="00424DCF">
              <w:rPr>
                <w:noProof/>
                <w:webHidden/>
              </w:rPr>
              <w:tab/>
            </w:r>
            <w:r w:rsidR="00424DCF">
              <w:rPr>
                <w:noProof/>
                <w:webHidden/>
              </w:rPr>
              <w:fldChar w:fldCharType="begin"/>
            </w:r>
            <w:r w:rsidR="00424DCF">
              <w:rPr>
                <w:noProof/>
                <w:webHidden/>
              </w:rPr>
              <w:instrText xml:space="preserve"> PAGEREF _Toc454811794 \h </w:instrText>
            </w:r>
            <w:r w:rsidR="00424DCF">
              <w:rPr>
                <w:noProof/>
                <w:webHidden/>
              </w:rPr>
            </w:r>
            <w:r w:rsidR="00424DCF">
              <w:rPr>
                <w:noProof/>
                <w:webHidden/>
              </w:rPr>
              <w:fldChar w:fldCharType="separate"/>
            </w:r>
            <w:r w:rsidR="00644816">
              <w:rPr>
                <w:noProof/>
                <w:webHidden/>
              </w:rPr>
              <w:t>31</w:t>
            </w:r>
            <w:r w:rsidR="00424DCF">
              <w:rPr>
                <w:noProof/>
                <w:webHidden/>
              </w:rPr>
              <w:fldChar w:fldCharType="end"/>
            </w:r>
          </w:hyperlink>
        </w:p>
        <w:p w14:paraId="05A33CB9" w14:textId="77777777" w:rsidR="00424DCF" w:rsidRDefault="00CE0576">
          <w:pPr>
            <w:pStyle w:val="TOC1"/>
            <w:tabs>
              <w:tab w:val="right" w:leader="dot" w:pos="9350"/>
            </w:tabs>
            <w:rPr>
              <w:noProof/>
            </w:rPr>
          </w:pPr>
          <w:hyperlink w:anchor="_Toc454811803" w:history="1">
            <w:r w:rsidR="00424DCF" w:rsidRPr="00F2138C">
              <w:rPr>
                <w:rStyle w:val="Hyperlink"/>
                <w:noProof/>
              </w:rPr>
              <w:t>Form 3: Sample Consent Form</w:t>
            </w:r>
            <w:r w:rsidR="00424DCF">
              <w:rPr>
                <w:noProof/>
                <w:webHidden/>
              </w:rPr>
              <w:tab/>
            </w:r>
            <w:r w:rsidR="00424DCF">
              <w:rPr>
                <w:noProof/>
                <w:webHidden/>
              </w:rPr>
              <w:fldChar w:fldCharType="begin"/>
            </w:r>
            <w:r w:rsidR="00424DCF">
              <w:rPr>
                <w:noProof/>
                <w:webHidden/>
              </w:rPr>
              <w:instrText xml:space="preserve"> PAGEREF _Toc454811803 \h </w:instrText>
            </w:r>
            <w:r w:rsidR="00424DCF">
              <w:rPr>
                <w:noProof/>
                <w:webHidden/>
              </w:rPr>
            </w:r>
            <w:r w:rsidR="00424DCF">
              <w:rPr>
                <w:noProof/>
                <w:webHidden/>
              </w:rPr>
              <w:fldChar w:fldCharType="separate"/>
            </w:r>
            <w:r w:rsidR="00644816">
              <w:rPr>
                <w:noProof/>
                <w:webHidden/>
              </w:rPr>
              <w:t>37</w:t>
            </w:r>
            <w:r w:rsidR="00424DCF">
              <w:rPr>
                <w:noProof/>
                <w:webHidden/>
              </w:rPr>
              <w:fldChar w:fldCharType="end"/>
            </w:r>
          </w:hyperlink>
        </w:p>
        <w:p w14:paraId="2B54BA45" w14:textId="380C02C1" w:rsidR="00404837" w:rsidRDefault="00424DCF" w:rsidP="00380699">
          <w:pPr>
            <w:sectPr w:rsidR="00404837" w:rsidSect="00E32AE5">
              <w:pgSz w:w="12240" w:h="15840"/>
              <w:pgMar w:top="1440" w:right="1440" w:bottom="1440" w:left="1440" w:header="708" w:footer="708" w:gutter="0"/>
              <w:cols w:space="708"/>
              <w:titlePg/>
              <w:docGrid w:linePitch="360"/>
            </w:sectPr>
          </w:pPr>
          <w:r>
            <w:rPr>
              <w:b/>
              <w:bCs/>
              <w:noProof/>
            </w:rPr>
            <w:fldChar w:fldCharType="end"/>
          </w:r>
        </w:p>
      </w:sdtContent>
    </w:sdt>
    <w:p w14:paraId="6C7AA0BC" w14:textId="77777777" w:rsidR="00157D40" w:rsidRDefault="00157D40" w:rsidP="00157D40">
      <w:pPr>
        <w:pStyle w:val="Heading1"/>
      </w:pPr>
      <w:bookmarkStart w:id="0" w:name="_Toc454811769"/>
      <w:r w:rsidRPr="00157D40">
        <w:lastRenderedPageBreak/>
        <w:t>Introduction - Purpose of This Guide</w:t>
      </w:r>
      <w:bookmarkEnd w:id="0"/>
    </w:p>
    <w:p w14:paraId="37754AED" w14:textId="77777777" w:rsidR="00300853" w:rsidRDefault="00300853" w:rsidP="00157D40">
      <w:r w:rsidRPr="00300853">
        <w:t>This is intended as a general guide for regulated health profession</w:t>
      </w:r>
      <w:r w:rsidR="00A27111">
        <w:t>al</w:t>
      </w:r>
      <w:r w:rsidRPr="00300853">
        <w:t xml:space="preserve">s in Ontario </w:t>
      </w:r>
      <w:r w:rsidR="00AB61FF">
        <w:t>about the basic concepts of</w:t>
      </w:r>
      <w:r w:rsidRPr="00300853">
        <w:t xml:space="preserve"> the </w:t>
      </w:r>
      <w:r w:rsidRPr="00300853">
        <w:rPr>
          <w:i/>
        </w:rPr>
        <w:t>Personal Health Information Protection Act, 2004</w:t>
      </w:r>
      <w:r w:rsidR="00A27111">
        <w:rPr>
          <w:i/>
        </w:rPr>
        <w:t xml:space="preserve"> </w:t>
      </w:r>
      <w:r w:rsidR="00A27111">
        <w:t>(“PHIPA” or the “Act”)</w:t>
      </w:r>
      <w:r w:rsidR="00AB61FF">
        <w:t xml:space="preserve"> and how to begin the process of developing a plan for complying with it</w:t>
      </w:r>
      <w:r w:rsidRPr="00300853">
        <w:t>.</w:t>
      </w:r>
      <w:r w:rsidR="00A27111">
        <w:t xml:space="preserve"> </w:t>
      </w:r>
      <w:r w:rsidRPr="00300853">
        <w:t xml:space="preserve"> </w:t>
      </w:r>
      <w:r>
        <w:t>It</w:t>
      </w:r>
      <w:r w:rsidRPr="00300853">
        <w:t xml:space="preserve"> is not intended to provide legal advice.  For legal advice,</w:t>
      </w:r>
      <w:r w:rsidR="00AB61FF">
        <w:t xml:space="preserve"> for example on whether a proposed compliance plan meets the PHIPA requirements,</w:t>
      </w:r>
      <w:r w:rsidRPr="00300853">
        <w:t xml:space="preserve"> please speak to a lawyer.</w:t>
      </w:r>
    </w:p>
    <w:p w14:paraId="29C83F0A" w14:textId="77777777" w:rsidR="00AC2AA5" w:rsidRDefault="00AC2AA5" w:rsidP="00157D40">
      <w:r>
        <w:t>The hope is that this G</w:t>
      </w:r>
      <w:r w:rsidR="00300853">
        <w:t xml:space="preserve">uide will be particularly useful for health professionals working in small organizations or on their own and who do not have access </w:t>
      </w:r>
      <w:r w:rsidR="004522B0">
        <w:t xml:space="preserve">to </w:t>
      </w:r>
      <w:r w:rsidR="00300853">
        <w:t xml:space="preserve">the resources that may be available in larger organizations. </w:t>
      </w:r>
    </w:p>
    <w:p w14:paraId="02272D6A" w14:textId="77777777" w:rsidR="00300853" w:rsidRDefault="00AC2AA5" w:rsidP="00157D40">
      <w:r>
        <w:t>This G</w:t>
      </w:r>
      <w:r w:rsidR="00300853">
        <w:t xml:space="preserve">uide </w:t>
      </w:r>
      <w:r>
        <w:t>addresses</w:t>
      </w:r>
      <w:r w:rsidR="00300853">
        <w:t xml:space="preserve"> PHIPA </w:t>
      </w:r>
      <w:r>
        <w:t xml:space="preserve">only </w:t>
      </w:r>
      <w:r w:rsidR="00300853">
        <w:t xml:space="preserve">as </w:t>
      </w:r>
      <w:r>
        <w:t>it</w:t>
      </w:r>
      <w:r w:rsidR="00300853">
        <w:t xml:space="preserve"> is the primary law that governs the handling of personal information by health professionals.  However, health professionals should be aware that they may need to comply with the federal </w:t>
      </w:r>
      <w:r w:rsidR="00300853" w:rsidRPr="003B1964">
        <w:rPr>
          <w:i/>
        </w:rPr>
        <w:t>Personal Information Protection and Electronic Documents Act</w:t>
      </w:r>
      <w:r w:rsidR="00300853">
        <w:t xml:space="preserve"> (“PIPEDA”)</w:t>
      </w:r>
      <w:r w:rsidR="00300853">
        <w:rPr>
          <w:rStyle w:val="FootnoteReference"/>
        </w:rPr>
        <w:footnoteReference w:id="1"/>
      </w:r>
      <w:r w:rsidR="00300853">
        <w:t xml:space="preserve"> if they engage in the following types of activities:</w:t>
      </w:r>
    </w:p>
    <w:p w14:paraId="3405F9A0" w14:textId="77777777" w:rsidR="00AC2AA5" w:rsidRPr="00AC2AA5" w:rsidRDefault="00300853" w:rsidP="00300853">
      <w:pPr>
        <w:pStyle w:val="ListParagraph"/>
        <w:numPr>
          <w:ilvl w:val="0"/>
          <w:numId w:val="15"/>
        </w:numPr>
        <w:rPr>
          <w:i/>
        </w:rPr>
      </w:pPr>
      <w:r w:rsidRPr="00A27111">
        <w:t>commercial activities</w:t>
      </w:r>
      <w:r>
        <w:t xml:space="preserve"> involving the collection, use or disclosure of personal information </w:t>
      </w:r>
      <w:r w:rsidRPr="00A27111">
        <w:t>outside of Ontario</w:t>
      </w:r>
      <w:r w:rsidR="00AC2AA5">
        <w:t xml:space="preserve">; </w:t>
      </w:r>
      <w:r w:rsidR="00A27111">
        <w:t>or</w:t>
      </w:r>
      <w:r w:rsidR="00AC2AA5">
        <w:t xml:space="preserve"> </w:t>
      </w:r>
    </w:p>
    <w:p w14:paraId="644638DB" w14:textId="77777777" w:rsidR="004E303C" w:rsidRPr="00300853" w:rsidRDefault="00AC2AA5" w:rsidP="00300853">
      <w:pPr>
        <w:pStyle w:val="ListParagraph"/>
        <w:numPr>
          <w:ilvl w:val="0"/>
          <w:numId w:val="15"/>
        </w:numPr>
        <w:rPr>
          <w:i/>
        </w:rPr>
      </w:pPr>
      <w:r w:rsidRPr="00A27111">
        <w:t>commercial activities</w:t>
      </w:r>
      <w:r>
        <w:t xml:space="preserve"> </w:t>
      </w:r>
      <w:r w:rsidRPr="00AC2AA5">
        <w:t>involving</w:t>
      </w:r>
      <w:r>
        <w:t xml:space="preserve"> the collection of personal information that is </w:t>
      </w:r>
      <w:r w:rsidRPr="00A27111">
        <w:t>not health information</w:t>
      </w:r>
      <w:r>
        <w:t xml:space="preserve"> </w:t>
      </w:r>
      <w:r w:rsidR="00300853">
        <w:t xml:space="preserve">(for example if you collect a home address and credit card number to process a sale that is unrelated to your duties as a health care practitioner).  </w:t>
      </w:r>
    </w:p>
    <w:p w14:paraId="75001035" w14:textId="77777777" w:rsidR="00AC2AA5" w:rsidRDefault="00AC2AA5" w:rsidP="00157D40">
      <w:r>
        <w:t xml:space="preserve">Many of the obligations under PHIPA and PIPEDA overlap, however. </w:t>
      </w:r>
    </w:p>
    <w:p w14:paraId="1E7ABB9D" w14:textId="77777777" w:rsidR="00280649" w:rsidRDefault="00280649" w:rsidP="00157D40">
      <w:r w:rsidRPr="00280649">
        <w:t>In addition, health professionals should realize that they have confidentiality and privacy obligations that arise from other sources including the definition of professional misconduct made by their regulatory College, their contracts with their clients and, sometimes, their employer, and by the court-created obligation protecting individuals from an “intrusion into their seclusion</w:t>
      </w:r>
      <w:r>
        <w:t>.</w:t>
      </w:r>
      <w:r w:rsidRPr="00280649">
        <w:t>”</w:t>
      </w:r>
      <w:r>
        <w:rPr>
          <w:rStyle w:val="FootnoteReference"/>
        </w:rPr>
        <w:footnoteReference w:id="2"/>
      </w:r>
      <w:r w:rsidR="00E5617B">
        <w:t xml:space="preserve"> Health professionals also need to comply with Canada’s anti-spam legislation if they send electronic messages of a commercial nature.</w:t>
      </w:r>
      <w:r w:rsidR="00E5617B">
        <w:rPr>
          <w:rStyle w:val="FootnoteReference"/>
        </w:rPr>
        <w:footnoteReference w:id="3"/>
      </w:r>
    </w:p>
    <w:p w14:paraId="657C4156" w14:textId="77777777" w:rsidR="00404837" w:rsidRDefault="00404837" w:rsidP="00157D40">
      <w:r>
        <w:t xml:space="preserve">PHIPA was amended in </w:t>
      </w:r>
      <w:r w:rsidR="00644816">
        <w:t>2020</w:t>
      </w:r>
      <w:r>
        <w:t xml:space="preserve"> to </w:t>
      </w:r>
      <w:r w:rsidR="00644816">
        <w:t>enhance the protection of electronic health records and to give the Information and Privacy Commissioner additional enforcement powers, among other things</w:t>
      </w:r>
      <w:r w:rsidRPr="00404837">
        <w:t>.</w:t>
      </w:r>
      <w:r>
        <w:t xml:space="preserve"> As of the time of writing this Guide, </w:t>
      </w:r>
      <w:r w:rsidR="00644816">
        <w:t xml:space="preserve">some of </w:t>
      </w:r>
      <w:r>
        <w:t>those provisions were not yet in force.</w:t>
      </w:r>
    </w:p>
    <w:p w14:paraId="6AE36F22" w14:textId="77777777" w:rsidR="00157D40" w:rsidRDefault="00157D40" w:rsidP="00157D40"/>
    <w:p w14:paraId="322B64F6" w14:textId="77777777" w:rsidR="00A27111" w:rsidRDefault="00A27111" w:rsidP="00A27111">
      <w:pPr>
        <w:pStyle w:val="Heading2"/>
      </w:pPr>
      <w:bookmarkStart w:id="1" w:name="_Toc454811770"/>
      <w:r>
        <w:t>How to Use this Guide</w:t>
      </w:r>
      <w:bookmarkEnd w:id="1"/>
    </w:p>
    <w:p w14:paraId="45CD03B7" w14:textId="77777777" w:rsidR="00A27111" w:rsidRDefault="00A27111" w:rsidP="00A27111">
      <w:r>
        <w:t xml:space="preserve">This Guide sets out seven basic steps for developing policies </w:t>
      </w:r>
      <w:r w:rsidR="00FF7501">
        <w:t>in order to</w:t>
      </w:r>
      <w:r>
        <w:t xml:space="preserve"> comply with PHIPA:</w:t>
      </w:r>
    </w:p>
    <w:p w14:paraId="65144EDB" w14:textId="77777777" w:rsidR="00A27111" w:rsidRDefault="00A9688B" w:rsidP="00A9688B">
      <w:pPr>
        <w:ind w:left="720"/>
      </w:pPr>
      <w:r w:rsidRPr="00A9688B">
        <w:t>Step 1 – Designat</w:t>
      </w:r>
      <w:r>
        <w:t>e</w:t>
      </w:r>
      <w:r w:rsidRPr="00A9688B">
        <w:t xml:space="preserve"> Your Organization’s Contact Person</w:t>
      </w:r>
    </w:p>
    <w:p w14:paraId="57221D6B" w14:textId="77777777" w:rsidR="00A9688B" w:rsidRDefault="00A9688B" w:rsidP="00A9688B">
      <w:pPr>
        <w:ind w:left="720"/>
      </w:pPr>
      <w:r w:rsidRPr="00A9688B">
        <w:t>Step 2 – Inventory the Information to be Covered by the Privacy Plan</w:t>
      </w:r>
    </w:p>
    <w:p w14:paraId="52CF875C" w14:textId="77777777" w:rsidR="00FF7501" w:rsidRDefault="00FF7501" w:rsidP="00FF7501">
      <w:pPr>
        <w:ind w:left="720"/>
      </w:pPr>
      <w:r w:rsidRPr="00FF7501">
        <w:t xml:space="preserve">Step 3 – Identify the Purposes for which you Collect, Use and Disclose Personal Health Information </w:t>
      </w:r>
    </w:p>
    <w:p w14:paraId="7E88A710" w14:textId="77777777" w:rsidR="00A9688B" w:rsidRDefault="00FF7501" w:rsidP="00A9688B">
      <w:pPr>
        <w:ind w:left="720"/>
      </w:pPr>
      <w:r w:rsidRPr="00FF7501">
        <w:t>Step 4 – Develop Practices Regarding Safeguards, Retention and Destruction</w:t>
      </w:r>
    </w:p>
    <w:p w14:paraId="5B7E1E6D" w14:textId="77777777" w:rsidR="00FF7501" w:rsidRDefault="00FF7501" w:rsidP="00A9688B">
      <w:pPr>
        <w:ind w:left="720"/>
      </w:pPr>
      <w:r w:rsidRPr="00FF7501">
        <w:t>Step 5 – Develop Practices Regarding Access, Correction and Complaints</w:t>
      </w:r>
    </w:p>
    <w:p w14:paraId="10622121" w14:textId="77777777" w:rsidR="00FF7501" w:rsidRDefault="00FF7501" w:rsidP="00A9688B">
      <w:pPr>
        <w:ind w:left="720"/>
      </w:pPr>
      <w:r w:rsidRPr="00FF7501">
        <w:t>Step 6 – Establish a Privacy Breach Protocol</w:t>
      </w:r>
    </w:p>
    <w:p w14:paraId="1F9DA730" w14:textId="77777777" w:rsidR="00FF7501" w:rsidRDefault="00FF7501" w:rsidP="00A9688B">
      <w:pPr>
        <w:ind w:left="720"/>
      </w:pPr>
      <w:r w:rsidRPr="00FF7501">
        <w:t>Step 7 – Implement Your Privacy Plan</w:t>
      </w:r>
    </w:p>
    <w:p w14:paraId="7E2398C0" w14:textId="77777777" w:rsidR="00A27111" w:rsidRDefault="00A27111" w:rsidP="00A27111">
      <w:r>
        <w:t>For each step, this Guide provides a summary of the key principles</w:t>
      </w:r>
      <w:r w:rsidR="0029227D">
        <w:t xml:space="preserve"> under PHIPA</w:t>
      </w:r>
      <w:r>
        <w:t>, as well as instructions (</w:t>
      </w:r>
      <w:r w:rsidR="00A9688B">
        <w:t>italicized in text boxes</w:t>
      </w:r>
      <w:r>
        <w:t xml:space="preserve">) for completing that step. </w:t>
      </w:r>
    </w:p>
    <w:p w14:paraId="36A8066C" w14:textId="77777777" w:rsidR="00A27111" w:rsidRPr="00A27111" w:rsidRDefault="00A27111" w:rsidP="00A27111">
      <w:r>
        <w:t>At the end of the Guide, there are sample forms that can be used as templates for creating your organization</w:t>
      </w:r>
      <w:r w:rsidR="0029227D">
        <w:t>’s W</w:t>
      </w:r>
      <w:r>
        <w:t xml:space="preserve">ritten </w:t>
      </w:r>
      <w:r w:rsidR="0029227D">
        <w:t>Public S</w:t>
      </w:r>
      <w:r>
        <w:t>tatement (Form 1), Privacy Policy (Form 2) and Consent Form (Form 3) – all based on the information you will have gathered while completing steps one through seven. The forms are generic templates and will have to be modified to fit the particular circumstances of your organization.  It is strongly recommended that you consult with a lawyer before implementing your privacy policies</w:t>
      </w:r>
      <w:r w:rsidR="00644816">
        <w:t xml:space="preserve"> both to ensure that your policies meet the requirements and to incorporate any amendments and regulations that are currently being made</w:t>
      </w:r>
      <w:r>
        <w:t xml:space="preserve">. </w:t>
      </w:r>
      <w:r w:rsidR="00E12AFC">
        <w:t>This Guide provides a general overview only.</w:t>
      </w:r>
    </w:p>
    <w:p w14:paraId="670B1CB2" w14:textId="77777777" w:rsidR="00287CFB" w:rsidRDefault="00287CFB" w:rsidP="00287CFB">
      <w:pPr>
        <w:pStyle w:val="Heading1"/>
      </w:pPr>
      <w:bookmarkStart w:id="2" w:name="_Toc454811771"/>
      <w:r>
        <w:lastRenderedPageBreak/>
        <w:t>Step 1 – Designat</w:t>
      </w:r>
      <w:r w:rsidR="00A9688B">
        <w:t>e</w:t>
      </w:r>
      <w:r>
        <w:t xml:space="preserve"> Your Organization’s </w:t>
      </w:r>
      <w:r w:rsidR="00683173">
        <w:t>Contact Person</w:t>
      </w:r>
      <w:bookmarkEnd w:id="2"/>
    </w:p>
    <w:p w14:paraId="3058D319" w14:textId="77777777" w:rsidR="00287CFB" w:rsidRDefault="00287CFB" w:rsidP="00287CFB">
      <w:pPr>
        <w:pStyle w:val="Heading2"/>
      </w:pPr>
      <w:bookmarkStart w:id="3" w:name="_Toc454811772"/>
      <w:r>
        <w:t xml:space="preserve">(a) Identifying Your </w:t>
      </w:r>
      <w:r w:rsidR="00EE3974">
        <w:t>Organization</w:t>
      </w:r>
      <w:bookmarkEnd w:id="3"/>
    </w:p>
    <w:p w14:paraId="5AA73847" w14:textId="77777777" w:rsidR="00287CFB" w:rsidRDefault="00F373CB" w:rsidP="00287CFB">
      <w:r>
        <w:t>The</w:t>
      </w:r>
      <w:r w:rsidR="00287CFB">
        <w:t xml:space="preserve"> basic organization</w:t>
      </w:r>
      <w:r>
        <w:t xml:space="preserve"> that must comply with PHIPA</w:t>
      </w:r>
      <w:r w:rsidR="00287CFB">
        <w:t xml:space="preserve"> is the “health information custodian”. </w:t>
      </w:r>
      <w:r w:rsidR="001262C1">
        <w:t xml:space="preserve">The health information custodian is ultimately responsible for the personal health information in his or her custody or control. </w:t>
      </w:r>
      <w:r w:rsidR="00287CFB">
        <w:t>PHIPA provides a list of custodians, including the following:</w:t>
      </w:r>
    </w:p>
    <w:p w14:paraId="5C26DF99" w14:textId="77777777" w:rsidR="00287CFB" w:rsidRDefault="00287CFB" w:rsidP="00287CFB">
      <w:pPr>
        <w:pStyle w:val="ListParagraph"/>
        <w:numPr>
          <w:ilvl w:val="0"/>
          <w:numId w:val="1"/>
        </w:numPr>
      </w:pPr>
      <w:r>
        <w:t>health care practitioners</w:t>
      </w:r>
      <w:r w:rsidR="00F373CB">
        <w:t xml:space="preserve"> or persons who operate a group practice of health care practitioners (this includes </w:t>
      </w:r>
      <w:r>
        <w:t xml:space="preserve">all those registered under the </w:t>
      </w:r>
      <w:r w:rsidRPr="00F75F85">
        <w:rPr>
          <w:i/>
        </w:rPr>
        <w:t>Regulated Health Professions Act</w:t>
      </w:r>
      <w:r>
        <w:t xml:space="preserve">, registered social workers and social service workers, </w:t>
      </w:r>
      <w:r w:rsidR="00F373CB">
        <w:t xml:space="preserve">and </w:t>
      </w:r>
      <w:r>
        <w:t>unregistered health care practitioners</w:t>
      </w:r>
      <w:r w:rsidR="00F373CB">
        <w:t>)</w:t>
      </w:r>
      <w:r w:rsidR="00B153FD">
        <w:t>;</w:t>
      </w:r>
    </w:p>
    <w:p w14:paraId="5A5CC852" w14:textId="3F8C9792" w:rsidR="00287CFB" w:rsidRDefault="00287CFB" w:rsidP="00287CFB">
      <w:pPr>
        <w:pStyle w:val="ListParagraph"/>
        <w:numPr>
          <w:ilvl w:val="0"/>
          <w:numId w:val="1"/>
        </w:numPr>
      </w:pPr>
      <w:r>
        <w:t xml:space="preserve">community service providers under the </w:t>
      </w:r>
      <w:r w:rsidR="00C54860">
        <w:rPr>
          <w:i/>
        </w:rPr>
        <w:t xml:space="preserve">Home Care and </w:t>
      </w:r>
      <w:r w:rsidR="002C1A26">
        <w:rPr>
          <w:i/>
        </w:rPr>
        <w:t>H</w:t>
      </w:r>
      <w:r w:rsidR="00913450">
        <w:rPr>
          <w:i/>
        </w:rPr>
        <w:t>ome</w:t>
      </w:r>
      <w:r w:rsidR="00C54860">
        <w:rPr>
          <w:i/>
        </w:rPr>
        <w:t>s Act, 1994</w:t>
      </w:r>
      <w:r w:rsidR="00B153FD">
        <w:t>;</w:t>
      </w:r>
    </w:p>
    <w:p w14:paraId="347DE687" w14:textId="77777777" w:rsidR="00287CFB" w:rsidRDefault="00913450" w:rsidP="00913450">
      <w:pPr>
        <w:pStyle w:val="ListParagraph"/>
        <w:numPr>
          <w:ilvl w:val="0"/>
          <w:numId w:val="1"/>
        </w:numPr>
      </w:pPr>
      <w:r w:rsidRPr="00913450">
        <w:t>local health integration network</w:t>
      </w:r>
      <w:r>
        <w:t>s</w:t>
      </w:r>
      <w:r w:rsidR="00B153FD">
        <w:t>;</w:t>
      </w:r>
      <w:r w:rsidR="00287CFB">
        <w:t xml:space="preserve"> and</w:t>
      </w:r>
    </w:p>
    <w:p w14:paraId="5D01A2BB" w14:textId="77777777" w:rsidR="00287CFB" w:rsidRDefault="00287CFB" w:rsidP="00287CFB">
      <w:pPr>
        <w:pStyle w:val="ListParagraph"/>
        <w:numPr>
          <w:ilvl w:val="0"/>
          <w:numId w:val="1"/>
        </w:numPr>
      </w:pPr>
      <w:r>
        <w:t>most health facilities i</w:t>
      </w:r>
      <w:r w:rsidR="00C54860">
        <w:t>ncluding public hospitals, long-term care homes</w:t>
      </w:r>
      <w:r>
        <w:t>,</w:t>
      </w:r>
      <w:r w:rsidR="00C54860">
        <w:t xml:space="preserve"> retirement homes, pharmacies,</w:t>
      </w:r>
      <w:r>
        <w:t xml:space="preserve"> ambulance</w:t>
      </w:r>
      <w:r w:rsidR="00C54860">
        <w:t xml:space="preserve"> services, laboratories</w:t>
      </w:r>
      <w:r>
        <w:t xml:space="preserve"> and community health centres.</w:t>
      </w:r>
    </w:p>
    <w:p w14:paraId="22CCCA09" w14:textId="77777777" w:rsidR="00287CFB" w:rsidRDefault="00287CFB" w:rsidP="00287CFB">
      <w:r>
        <w:t>However, where a potential custodian is an individual practitio</w:t>
      </w:r>
      <w:r w:rsidR="00F373CB">
        <w:t xml:space="preserve">ner who acts as an agent for another </w:t>
      </w:r>
      <w:r>
        <w:t>custodian (</w:t>
      </w:r>
      <w:r w:rsidR="009024FA">
        <w:t>e.g.</w:t>
      </w:r>
      <w:r>
        <w:t xml:space="preserve">, </w:t>
      </w:r>
      <w:r w:rsidR="00B153FD">
        <w:t xml:space="preserve">a group practice or </w:t>
      </w:r>
      <w:r>
        <w:t xml:space="preserve">a hospital), the organizational custodian and not the individual practitioner becomes the custodian. For example, a practitioner who </w:t>
      </w:r>
      <w:r w:rsidR="0096124B">
        <w:t>works for or on behalf of a</w:t>
      </w:r>
      <w:r w:rsidR="00C54860">
        <w:t xml:space="preserve"> hospital</w:t>
      </w:r>
      <w:r>
        <w:t xml:space="preserve"> is not a custodian</w:t>
      </w:r>
      <w:r w:rsidR="0096124B">
        <w:t>:</w:t>
      </w:r>
      <w:r w:rsidR="00AC66A1">
        <w:t xml:space="preserve"> the hospital is the custodian</w:t>
      </w:r>
      <w:r w:rsidR="0096124B">
        <w:t xml:space="preserve"> and the practitioner is an agent</w:t>
      </w:r>
      <w:r w:rsidR="00AC66A1">
        <w:t>.</w:t>
      </w:r>
      <w:r>
        <w:t xml:space="preserve"> The purpose of this rule is to ensure that custodians </w:t>
      </w:r>
      <w:r w:rsidR="00FD041E">
        <w:t xml:space="preserve">do not need to </w:t>
      </w:r>
      <w:r>
        <w:t>compet</w:t>
      </w:r>
      <w:r w:rsidR="00FD041E">
        <w:t>e</w:t>
      </w:r>
      <w:r>
        <w:t xml:space="preserve"> for control over the privacy policies for the organization. However, </w:t>
      </w:r>
      <w:r w:rsidR="0096124B">
        <w:t>an agent</w:t>
      </w:r>
      <w:r>
        <w:t xml:space="preserve"> must then comply with the custodian’s privacy practices when acting on the custodian’s behalf</w:t>
      </w:r>
      <w:r w:rsidR="00CD32B0">
        <w:t xml:space="preserve">. In particular, </w:t>
      </w:r>
      <w:r w:rsidR="0096124B">
        <w:t>an agent</w:t>
      </w:r>
      <w:r w:rsidR="00CD32B0">
        <w:t xml:space="preserve"> must ensure that the collection, use, disclosure, retention or disposal of personal health information is permitted by the custodian, is necessary for </w:t>
      </w:r>
      <w:r w:rsidR="0096124B">
        <w:t xml:space="preserve">the </w:t>
      </w:r>
      <w:r w:rsidR="00CD32B0">
        <w:t xml:space="preserve">purposes of carrying out the </w:t>
      </w:r>
      <w:r w:rsidR="0096124B">
        <w:t>agent</w:t>
      </w:r>
      <w:r w:rsidR="00CD32B0">
        <w:t>’s duties, is not contrary to law and complies with any specific restrictions imposed by the custodian</w:t>
      </w:r>
      <w:r>
        <w:t xml:space="preserve"> (s. 17).</w:t>
      </w:r>
    </w:p>
    <w:p w14:paraId="256F768A" w14:textId="77777777" w:rsidR="00287CFB" w:rsidRDefault="00113C92" w:rsidP="00287CFB">
      <w:r>
        <w:t>Most</w:t>
      </w:r>
      <w:r w:rsidR="00287CFB">
        <w:t xml:space="preserve"> custodian</w:t>
      </w:r>
      <w:r>
        <w:t>s</w:t>
      </w:r>
      <w:r w:rsidR="00287CFB">
        <w:t xml:space="preserve"> can only have one physical site unless special permission is obtained from </w:t>
      </w:r>
      <w:r w:rsidR="00C54860">
        <w:t>the Minister of Health and Long-</w:t>
      </w:r>
      <w:r w:rsidR="00287CFB">
        <w:t>Term Care.</w:t>
      </w:r>
    </w:p>
    <w:tbl>
      <w:tblPr>
        <w:tblStyle w:val="TableGrid"/>
        <w:tblW w:w="0" w:type="auto"/>
        <w:tblLook w:val="04A0" w:firstRow="1" w:lastRow="0" w:firstColumn="1" w:lastColumn="0" w:noHBand="0" w:noVBand="1"/>
      </w:tblPr>
      <w:tblGrid>
        <w:gridCol w:w="9350"/>
      </w:tblGrid>
      <w:tr w:rsidR="00A9688B" w14:paraId="27318878" w14:textId="77777777" w:rsidTr="00A9688B">
        <w:tc>
          <w:tcPr>
            <w:tcW w:w="9576" w:type="dxa"/>
          </w:tcPr>
          <w:p w14:paraId="4023599C" w14:textId="77777777" w:rsidR="00A9688B" w:rsidRPr="00A9688B" w:rsidRDefault="00A9688B" w:rsidP="00287CFB">
            <w:pPr>
              <w:rPr>
                <w:i/>
              </w:rPr>
            </w:pPr>
            <w:r>
              <w:rPr>
                <w:i/>
              </w:rPr>
              <w:t>Identify your organization (e.g., this could be an individual regulated health professional if you are in a sole practice or a clinic if you belong to a group practice).</w:t>
            </w:r>
          </w:p>
        </w:tc>
      </w:tr>
    </w:tbl>
    <w:p w14:paraId="324D326B" w14:textId="77777777" w:rsidR="00A9688B" w:rsidRDefault="00A9688B" w:rsidP="00287CFB"/>
    <w:p w14:paraId="56941002" w14:textId="77777777" w:rsidR="00287CFB" w:rsidRDefault="00287CFB" w:rsidP="00287CFB">
      <w:pPr>
        <w:pStyle w:val="Heading2"/>
      </w:pPr>
      <w:bookmarkStart w:id="4" w:name="_Toc454811773"/>
      <w:r>
        <w:t>(b) Selecting Your Information Officer / Contact Person</w:t>
      </w:r>
      <w:bookmarkEnd w:id="4"/>
    </w:p>
    <w:p w14:paraId="0936EE1A" w14:textId="77777777" w:rsidR="00287CFB" w:rsidRDefault="00287CFB" w:rsidP="00287CFB">
      <w:r>
        <w:t>The information officer (called the “contact person” under PHIPA) need not be a practitioner (s. 15).</w:t>
      </w:r>
    </w:p>
    <w:p w14:paraId="1B5918F7" w14:textId="77777777" w:rsidR="00287CFB" w:rsidRDefault="00287CFB" w:rsidP="00287CFB">
      <w:r>
        <w:lastRenderedPageBreak/>
        <w:t>The information officer is responsible for ensuring that the custodian puts in place and follows information practices (s. 10).</w:t>
      </w:r>
    </w:p>
    <w:p w14:paraId="441F7414" w14:textId="77777777" w:rsidR="00287CFB" w:rsidRDefault="00287CFB" w:rsidP="00287CFB">
      <w:r>
        <w:t xml:space="preserve">The contact person </w:t>
      </w:r>
      <w:r w:rsidR="00FD041E">
        <w:t>must</w:t>
      </w:r>
      <w:r>
        <w:t xml:space="preserve"> do the following:</w:t>
      </w:r>
    </w:p>
    <w:p w14:paraId="05B4ED86" w14:textId="77777777" w:rsidR="00287CFB" w:rsidRDefault="00287CFB" w:rsidP="00287CFB">
      <w:pPr>
        <w:pStyle w:val="ListParagraph"/>
        <w:numPr>
          <w:ilvl w:val="0"/>
          <w:numId w:val="2"/>
        </w:numPr>
      </w:pPr>
      <w:r>
        <w:t>facilitate compliance with PHIPA by the custodian,</w:t>
      </w:r>
    </w:p>
    <w:p w14:paraId="0908E162" w14:textId="77777777" w:rsidR="00287CFB" w:rsidRDefault="00287CFB" w:rsidP="00287CFB">
      <w:pPr>
        <w:pStyle w:val="ListParagraph"/>
        <w:numPr>
          <w:ilvl w:val="0"/>
          <w:numId w:val="2"/>
        </w:numPr>
      </w:pPr>
      <w:r>
        <w:t>educate the agents of the custodian,</w:t>
      </w:r>
    </w:p>
    <w:p w14:paraId="34BB2CD1" w14:textId="77777777" w:rsidR="00287CFB" w:rsidRDefault="00287CFB" w:rsidP="00287CFB">
      <w:pPr>
        <w:pStyle w:val="ListParagraph"/>
        <w:numPr>
          <w:ilvl w:val="0"/>
          <w:numId w:val="2"/>
        </w:numPr>
      </w:pPr>
      <w:r>
        <w:t>respond to public inquiries about the custodian’s information practices,</w:t>
      </w:r>
    </w:p>
    <w:p w14:paraId="0BB31AF5" w14:textId="77777777" w:rsidR="00287CFB" w:rsidRDefault="00287CFB" w:rsidP="00287CFB">
      <w:pPr>
        <w:pStyle w:val="ListParagraph"/>
        <w:numPr>
          <w:ilvl w:val="0"/>
          <w:numId w:val="2"/>
        </w:numPr>
      </w:pPr>
      <w:r>
        <w:t>oversee access and correction requests,</w:t>
      </w:r>
      <w:r w:rsidR="00B153FD">
        <w:t xml:space="preserve"> and</w:t>
      </w:r>
    </w:p>
    <w:p w14:paraId="711DD1FD" w14:textId="77777777" w:rsidR="00287CFB" w:rsidRDefault="00287CFB" w:rsidP="00287CFB">
      <w:pPr>
        <w:pStyle w:val="ListParagraph"/>
        <w:numPr>
          <w:ilvl w:val="0"/>
          <w:numId w:val="2"/>
        </w:numPr>
      </w:pPr>
      <w:r>
        <w:t>handle pri</w:t>
      </w:r>
      <w:r w:rsidR="00B153FD">
        <w:t>vacy complaints (s. 15).</w:t>
      </w:r>
    </w:p>
    <w:p w14:paraId="200DBE77" w14:textId="77777777" w:rsidR="00287CFB" w:rsidRPr="00B153FD" w:rsidRDefault="00B153FD" w:rsidP="00B153FD">
      <w:r>
        <w:t xml:space="preserve">The custodian is responsible for displaying a written public statement about its information practices </w:t>
      </w:r>
      <w:r w:rsidR="00287CFB">
        <w:t>(s.</w:t>
      </w:r>
      <w:r>
        <w:t xml:space="preserve"> </w:t>
      </w:r>
      <w:r w:rsidR="00287CFB">
        <w:t>16).</w:t>
      </w:r>
      <w:r>
        <w:t xml:space="preserve">  A </w:t>
      </w:r>
      <w:r w:rsidR="000B5ACC" w:rsidRPr="00B153FD">
        <w:t xml:space="preserve">sample written public statement is attached as </w:t>
      </w:r>
      <w:r>
        <w:rPr>
          <w:b/>
        </w:rPr>
        <w:t>Form 1</w:t>
      </w:r>
      <w:r>
        <w:t>.</w:t>
      </w:r>
    </w:p>
    <w:p w14:paraId="4A508FE8" w14:textId="77777777" w:rsidR="00287CFB" w:rsidRDefault="00287CFB" w:rsidP="00287CFB">
      <w:r>
        <w:t>It is important that the custodian’s information practices are fairly complete because there are special obligations on the custodian where it uses or discloses personal health information in a manner not described in the information practices (ss. 16(2)). For example, the custodian must normally try</w:t>
      </w:r>
      <w:r w:rsidR="00FD041E">
        <w:t xml:space="preserve"> to notify the individual of that</w:t>
      </w:r>
      <w:r>
        <w:t xml:space="preserve"> use or disclosure.</w:t>
      </w:r>
    </w:p>
    <w:tbl>
      <w:tblPr>
        <w:tblStyle w:val="TableGrid"/>
        <w:tblW w:w="0" w:type="auto"/>
        <w:tblLook w:val="04A0" w:firstRow="1" w:lastRow="0" w:firstColumn="1" w:lastColumn="0" w:noHBand="0" w:noVBand="1"/>
      </w:tblPr>
      <w:tblGrid>
        <w:gridCol w:w="9350"/>
      </w:tblGrid>
      <w:tr w:rsidR="00A9688B" w14:paraId="0EE1D83E" w14:textId="77777777" w:rsidTr="00A9688B">
        <w:tc>
          <w:tcPr>
            <w:tcW w:w="9576" w:type="dxa"/>
          </w:tcPr>
          <w:p w14:paraId="0FAD855C" w14:textId="77777777" w:rsidR="00A9688B" w:rsidRPr="00A9688B" w:rsidRDefault="00A9688B" w:rsidP="00287CFB">
            <w:pPr>
              <w:rPr>
                <w:i/>
              </w:rPr>
            </w:pPr>
            <w:r>
              <w:rPr>
                <w:i/>
              </w:rPr>
              <w:t>Select your organization’s contact person.</w:t>
            </w:r>
          </w:p>
        </w:tc>
      </w:tr>
    </w:tbl>
    <w:p w14:paraId="09317062" w14:textId="77777777" w:rsidR="00A9688B" w:rsidRDefault="00A9688B" w:rsidP="00287CFB"/>
    <w:p w14:paraId="48B1195F" w14:textId="77777777" w:rsidR="00287CFB" w:rsidRDefault="00287CFB" w:rsidP="00287CFB">
      <w:pPr>
        <w:pStyle w:val="Heading1"/>
      </w:pPr>
      <w:bookmarkStart w:id="5" w:name="_Toc454811774"/>
      <w:r>
        <w:lastRenderedPageBreak/>
        <w:t xml:space="preserve">Step 2 – </w:t>
      </w:r>
      <w:r w:rsidR="00A9688B">
        <w:t xml:space="preserve">Inventory the </w:t>
      </w:r>
      <w:r>
        <w:t>Information</w:t>
      </w:r>
      <w:r w:rsidR="00A9688B">
        <w:t xml:space="preserve"> to be</w:t>
      </w:r>
      <w:r>
        <w:t xml:space="preserve"> Covered by the Privacy Plan</w:t>
      </w:r>
      <w:bookmarkEnd w:id="5"/>
    </w:p>
    <w:p w14:paraId="4D272D13" w14:textId="77777777" w:rsidR="00287CFB" w:rsidRDefault="00287CFB" w:rsidP="00287CFB">
      <w:pPr>
        <w:pStyle w:val="Heading2"/>
      </w:pPr>
      <w:bookmarkStart w:id="6" w:name="_Toc454811775"/>
      <w:r>
        <w:t>(a) Personal Health Information</w:t>
      </w:r>
      <w:bookmarkEnd w:id="6"/>
    </w:p>
    <w:p w14:paraId="72F90A64" w14:textId="77777777" w:rsidR="002F697C" w:rsidRDefault="00287CFB" w:rsidP="002F697C">
      <w:r>
        <w:t xml:space="preserve">PHIPA applies to any collection, use or disclosure of personal health information by a health information custodian (s. 7). </w:t>
      </w:r>
    </w:p>
    <w:p w14:paraId="57108C06" w14:textId="77777777" w:rsidR="00287CFB" w:rsidRDefault="00287CFB" w:rsidP="00287CFB">
      <w:r>
        <w:t>Personal health information is very broadly defined (s. 4) and includes the following:</w:t>
      </w:r>
    </w:p>
    <w:p w14:paraId="30D89906" w14:textId="77777777" w:rsidR="00287CFB" w:rsidRDefault="00287CFB" w:rsidP="002F697C">
      <w:pPr>
        <w:pStyle w:val="ListParagraph"/>
        <w:numPr>
          <w:ilvl w:val="0"/>
          <w:numId w:val="3"/>
        </w:numPr>
      </w:pPr>
      <w:r>
        <w:t>it must relate to an identifiable individual, including information that can be combined with other data (e.g., a code or a key) to then identify the individual,</w:t>
      </w:r>
    </w:p>
    <w:p w14:paraId="007342AA" w14:textId="77777777" w:rsidR="00287CFB" w:rsidRDefault="00287CFB" w:rsidP="002F697C">
      <w:pPr>
        <w:pStyle w:val="ListParagraph"/>
        <w:numPr>
          <w:ilvl w:val="0"/>
          <w:numId w:val="3"/>
        </w:numPr>
      </w:pPr>
      <w:r>
        <w:t>it can be in oral or recorded format (thus simply asking a question even if the answer is not recorded can constitute collecting personal health information), and</w:t>
      </w:r>
    </w:p>
    <w:p w14:paraId="60D1322C" w14:textId="77777777" w:rsidR="00287CFB" w:rsidRDefault="00287CFB" w:rsidP="002F697C">
      <w:pPr>
        <w:pStyle w:val="ListParagraph"/>
        <w:numPr>
          <w:ilvl w:val="0"/>
          <w:numId w:val="3"/>
        </w:numPr>
      </w:pPr>
      <w:r>
        <w:t>it relates to the individual’s</w:t>
      </w:r>
    </w:p>
    <w:p w14:paraId="547EA796" w14:textId="77777777" w:rsidR="00287CFB" w:rsidRDefault="00287CFB" w:rsidP="002F697C">
      <w:pPr>
        <w:pStyle w:val="ListParagraph"/>
        <w:numPr>
          <w:ilvl w:val="1"/>
          <w:numId w:val="3"/>
        </w:numPr>
      </w:pPr>
      <w:r>
        <w:t>physical or mental condition, including his or her family health history,</w:t>
      </w:r>
    </w:p>
    <w:p w14:paraId="19F0167D" w14:textId="77777777" w:rsidR="00287CFB" w:rsidRDefault="00287CFB" w:rsidP="002F697C">
      <w:pPr>
        <w:pStyle w:val="ListParagraph"/>
        <w:numPr>
          <w:ilvl w:val="1"/>
          <w:numId w:val="3"/>
        </w:numPr>
      </w:pPr>
      <w:r>
        <w:t>health care (including maintenance, preventative or palliative measures),</w:t>
      </w:r>
    </w:p>
    <w:p w14:paraId="2A9B6997" w14:textId="77777777" w:rsidR="00287CFB" w:rsidRDefault="00FD041E" w:rsidP="002F697C">
      <w:pPr>
        <w:pStyle w:val="ListParagraph"/>
        <w:numPr>
          <w:ilvl w:val="1"/>
          <w:numId w:val="3"/>
        </w:numPr>
      </w:pPr>
      <w:r>
        <w:t>health care provider</w:t>
      </w:r>
      <w:r w:rsidR="00287CFB">
        <w:t>,</w:t>
      </w:r>
    </w:p>
    <w:p w14:paraId="272E97D4" w14:textId="0F9F9B6D" w:rsidR="00287CFB" w:rsidRDefault="00287CFB" w:rsidP="002F697C">
      <w:pPr>
        <w:pStyle w:val="ListParagraph"/>
        <w:numPr>
          <w:ilvl w:val="1"/>
          <w:numId w:val="3"/>
        </w:numPr>
      </w:pPr>
      <w:r>
        <w:t xml:space="preserve">payment for the health service including </w:t>
      </w:r>
      <w:r w:rsidR="00113C92">
        <w:t xml:space="preserve">an individual’s </w:t>
      </w:r>
      <w:r>
        <w:t>health card number,</w:t>
      </w:r>
    </w:p>
    <w:p w14:paraId="41836EEA" w14:textId="77777777" w:rsidR="00287CFB" w:rsidRDefault="00287CFB" w:rsidP="002F697C">
      <w:pPr>
        <w:pStyle w:val="ListParagraph"/>
        <w:numPr>
          <w:ilvl w:val="1"/>
          <w:numId w:val="3"/>
        </w:numPr>
      </w:pPr>
      <w:r>
        <w:t>substituted decision maker, or</w:t>
      </w:r>
    </w:p>
    <w:p w14:paraId="6A42EB1C" w14:textId="77777777" w:rsidR="00287CFB" w:rsidRDefault="00287CFB" w:rsidP="002F697C">
      <w:pPr>
        <w:pStyle w:val="ListParagraph"/>
        <w:numPr>
          <w:ilvl w:val="1"/>
          <w:numId w:val="3"/>
        </w:numPr>
      </w:pPr>
      <w:r>
        <w:t>non-health care information (e.g., home contact information) mixed in with other personal health information.</w:t>
      </w:r>
    </w:p>
    <w:p w14:paraId="244284CA" w14:textId="77777777" w:rsidR="00287CFB" w:rsidRDefault="00287CFB" w:rsidP="00287CFB">
      <w:r>
        <w:t xml:space="preserve">PHIPA is usually paramount over any inconsistent provincial statute (s. 7). However, PHIPA has a number of exceptions within it. For example, PHIPA does not apply to the regulatory activities of </w:t>
      </w:r>
      <w:r w:rsidR="00D658B8">
        <w:t>a health</w:t>
      </w:r>
      <w:r>
        <w:t xml:space="preserve"> College (cl. (9)(2)(e)).</w:t>
      </w:r>
    </w:p>
    <w:p w14:paraId="26ECF747" w14:textId="77777777" w:rsidR="00287CFB" w:rsidRDefault="00287CFB" w:rsidP="002F697C">
      <w:pPr>
        <w:pStyle w:val="Heading2"/>
      </w:pPr>
      <w:bookmarkStart w:id="7" w:name="_Toc454811776"/>
      <w:r>
        <w:t xml:space="preserve">(b) Inventory of Personal </w:t>
      </w:r>
      <w:r w:rsidR="001C6BF2">
        <w:t xml:space="preserve">Health </w:t>
      </w:r>
      <w:r>
        <w:t>Information Collected</w:t>
      </w:r>
      <w:bookmarkEnd w:id="7"/>
    </w:p>
    <w:tbl>
      <w:tblPr>
        <w:tblStyle w:val="TableGrid"/>
        <w:tblW w:w="0" w:type="auto"/>
        <w:tblLook w:val="04A0" w:firstRow="1" w:lastRow="0" w:firstColumn="1" w:lastColumn="0" w:noHBand="0" w:noVBand="1"/>
      </w:tblPr>
      <w:tblGrid>
        <w:gridCol w:w="9350"/>
      </w:tblGrid>
      <w:tr w:rsidR="001C6BF2" w14:paraId="35187069" w14:textId="77777777" w:rsidTr="001C6BF2">
        <w:tc>
          <w:tcPr>
            <w:tcW w:w="9576" w:type="dxa"/>
          </w:tcPr>
          <w:p w14:paraId="6BD7139D" w14:textId="77777777" w:rsidR="001C6BF2" w:rsidRPr="001C6BF2" w:rsidRDefault="001C6BF2" w:rsidP="001C6BF2">
            <w:pPr>
              <w:rPr>
                <w:i/>
              </w:rPr>
            </w:pPr>
            <w:r>
              <w:rPr>
                <w:i/>
              </w:rPr>
              <w:t>Conduct an inventory of all of the personal health information that you collect in the course of providing health care.</w:t>
            </w:r>
            <w:r w:rsidR="00672F2B">
              <w:rPr>
                <w:i/>
              </w:rPr>
              <w:t xml:space="preserve"> You may use the lists below as a guide to the types of information that you collect. </w:t>
            </w:r>
          </w:p>
        </w:tc>
      </w:tr>
    </w:tbl>
    <w:p w14:paraId="059D4816" w14:textId="77777777" w:rsidR="001C6BF2" w:rsidRDefault="001C6BF2" w:rsidP="001C6BF2"/>
    <w:p w14:paraId="7DE32298" w14:textId="77777777" w:rsidR="006C3778" w:rsidRDefault="006C3778" w:rsidP="001C6BF2">
      <w:r>
        <w:t>Personal characteristics</w:t>
      </w:r>
    </w:p>
    <w:p w14:paraId="0DB320AD" w14:textId="77777777" w:rsidR="001C6BF2" w:rsidRDefault="006C3778" w:rsidP="00672F2B">
      <w:pPr>
        <w:pStyle w:val="Checklistbullet"/>
      </w:pPr>
      <w:r>
        <w:t>Name</w:t>
      </w:r>
    </w:p>
    <w:p w14:paraId="2BF93F47" w14:textId="77777777" w:rsidR="006C3778" w:rsidRDefault="006C3778" w:rsidP="00672F2B">
      <w:pPr>
        <w:pStyle w:val="Checklistbullet"/>
      </w:pPr>
      <w:r>
        <w:t>Home address, telephone number, email address</w:t>
      </w:r>
    </w:p>
    <w:p w14:paraId="13FD43A3" w14:textId="77777777" w:rsidR="006C3778" w:rsidRDefault="006C3778" w:rsidP="00672F2B">
      <w:pPr>
        <w:pStyle w:val="Checklistbullet"/>
      </w:pPr>
      <w:r>
        <w:t>Gender</w:t>
      </w:r>
    </w:p>
    <w:p w14:paraId="76188A92" w14:textId="77777777" w:rsidR="006C3778" w:rsidRDefault="006C3778" w:rsidP="00672F2B">
      <w:pPr>
        <w:pStyle w:val="Checklistbullet"/>
      </w:pPr>
      <w:r>
        <w:t>Age</w:t>
      </w:r>
    </w:p>
    <w:p w14:paraId="2688F262" w14:textId="77777777" w:rsidR="006C3778" w:rsidRDefault="006C3778" w:rsidP="00672F2B">
      <w:pPr>
        <w:pStyle w:val="Checklistbullet"/>
      </w:pPr>
      <w:r>
        <w:t>Language</w:t>
      </w:r>
    </w:p>
    <w:p w14:paraId="6EC77071" w14:textId="77777777" w:rsidR="006C3778" w:rsidRDefault="006C3778" w:rsidP="00672F2B">
      <w:pPr>
        <w:pStyle w:val="Checklistbullet"/>
      </w:pPr>
      <w:r>
        <w:t>Ethnicity, race or country of origin</w:t>
      </w:r>
    </w:p>
    <w:p w14:paraId="74318CE5" w14:textId="77777777" w:rsidR="00672F2B" w:rsidRDefault="00672F2B" w:rsidP="00672F2B">
      <w:pPr>
        <w:pStyle w:val="Checklistbullet"/>
      </w:pPr>
      <w:r>
        <w:lastRenderedPageBreak/>
        <w:t>Religion</w:t>
      </w:r>
    </w:p>
    <w:p w14:paraId="2BF7121F" w14:textId="77777777" w:rsidR="006C3778" w:rsidRDefault="006C3778" w:rsidP="00672F2B">
      <w:pPr>
        <w:pStyle w:val="Checklistbullet"/>
      </w:pPr>
      <w:r>
        <w:t>Education or training</w:t>
      </w:r>
    </w:p>
    <w:p w14:paraId="407EFC83" w14:textId="77777777" w:rsidR="00672F2B" w:rsidRDefault="00672F2B" w:rsidP="00672F2B">
      <w:pPr>
        <w:pStyle w:val="Checklistbullet"/>
      </w:pPr>
      <w:r>
        <w:t>Occupation/profession</w:t>
      </w:r>
    </w:p>
    <w:p w14:paraId="62AA11D8" w14:textId="77777777" w:rsidR="006C3778" w:rsidRDefault="006C3778" w:rsidP="00672F2B">
      <w:pPr>
        <w:pStyle w:val="Checklistbullet"/>
      </w:pPr>
      <w:r>
        <w:t>Marital status, sexual history or sexual orientation</w:t>
      </w:r>
    </w:p>
    <w:p w14:paraId="317B66A8" w14:textId="77777777" w:rsidR="00CC501F" w:rsidRDefault="00CC501F" w:rsidP="00CC501F">
      <w:pPr>
        <w:pStyle w:val="Checklistbullet"/>
      </w:pPr>
      <w:r>
        <w:t>Credit card or other payment information</w:t>
      </w:r>
    </w:p>
    <w:p w14:paraId="661E170B" w14:textId="77777777" w:rsidR="006C3778" w:rsidRDefault="006C3778" w:rsidP="00672F2B">
      <w:pPr>
        <w:pStyle w:val="Checklistbullet"/>
      </w:pPr>
      <w:r>
        <w:t>Income</w:t>
      </w:r>
    </w:p>
    <w:p w14:paraId="2B66DCEF" w14:textId="77777777" w:rsidR="006C3778" w:rsidRDefault="006C3778" w:rsidP="00672F2B">
      <w:pPr>
        <w:pStyle w:val="Checklistbullet"/>
      </w:pPr>
      <w:r>
        <w:t>Other: __________</w:t>
      </w:r>
    </w:p>
    <w:p w14:paraId="243691CC" w14:textId="77777777" w:rsidR="006C3778" w:rsidRPr="001C6BF2" w:rsidRDefault="006C3778" w:rsidP="00672F2B">
      <w:pPr>
        <w:pStyle w:val="Checklistbullet"/>
      </w:pPr>
      <w:r>
        <w:t>Other: __________</w:t>
      </w:r>
    </w:p>
    <w:p w14:paraId="5C83F1D6" w14:textId="77777777" w:rsidR="006C3778" w:rsidRDefault="006C3778" w:rsidP="00672F2B">
      <w:pPr>
        <w:pStyle w:val="Checklistbullet"/>
      </w:pPr>
      <w:r>
        <w:t>Other: __________</w:t>
      </w:r>
    </w:p>
    <w:p w14:paraId="4CE17775" w14:textId="77777777" w:rsidR="006C3778" w:rsidRDefault="006C3778" w:rsidP="006C3778">
      <w:r>
        <w:t>Heath information</w:t>
      </w:r>
    </w:p>
    <w:p w14:paraId="00B09FBF" w14:textId="77777777" w:rsidR="006C3778" w:rsidRDefault="006C3778" w:rsidP="00672F2B">
      <w:pPr>
        <w:pStyle w:val="Checklistbullet"/>
      </w:pPr>
      <w:r>
        <w:t>Health history</w:t>
      </w:r>
      <w:r w:rsidR="00D0283A">
        <w:t xml:space="preserve"> of individual</w:t>
      </w:r>
    </w:p>
    <w:p w14:paraId="12ED0681" w14:textId="77777777" w:rsidR="00D0283A" w:rsidRDefault="00D0283A" w:rsidP="00672F2B">
      <w:pPr>
        <w:pStyle w:val="Checklistbullet"/>
      </w:pPr>
      <w:r>
        <w:t>Family health history</w:t>
      </w:r>
    </w:p>
    <w:p w14:paraId="2A1F4B79" w14:textId="77777777" w:rsidR="006C3778" w:rsidRDefault="006C3778" w:rsidP="00672F2B">
      <w:pPr>
        <w:pStyle w:val="Checklistbullet"/>
      </w:pPr>
      <w:r>
        <w:t>Health measurements, samples or examination results</w:t>
      </w:r>
    </w:p>
    <w:p w14:paraId="0D9F2050" w14:textId="77777777" w:rsidR="006C3778" w:rsidRDefault="006C3778" w:rsidP="00672F2B">
      <w:pPr>
        <w:pStyle w:val="Checklistbullet"/>
      </w:pPr>
      <w:r>
        <w:t>Health conditions, assessment results or diagnoses</w:t>
      </w:r>
    </w:p>
    <w:p w14:paraId="2CA75380" w14:textId="77777777" w:rsidR="006C3778" w:rsidRDefault="006C3778" w:rsidP="00672F2B">
      <w:pPr>
        <w:pStyle w:val="Checklistbullet"/>
      </w:pPr>
      <w:r>
        <w:t>Health services provided to or received by the individual</w:t>
      </w:r>
    </w:p>
    <w:p w14:paraId="2A3B1AB3" w14:textId="77777777" w:rsidR="006C3778" w:rsidRDefault="006C3778" w:rsidP="00672F2B">
      <w:pPr>
        <w:pStyle w:val="Checklistbullet"/>
      </w:pPr>
      <w:r>
        <w:t>Prognosis or other opinions formed during assessment and treatment</w:t>
      </w:r>
    </w:p>
    <w:p w14:paraId="387C01E8" w14:textId="77777777" w:rsidR="006C3778" w:rsidRDefault="006C3778" w:rsidP="00672F2B">
      <w:pPr>
        <w:pStyle w:val="Checklistbullet"/>
      </w:pPr>
      <w:r>
        <w:t>Compliance with assessment and treatment</w:t>
      </w:r>
    </w:p>
    <w:p w14:paraId="0861FE4F" w14:textId="77777777" w:rsidR="006C3778" w:rsidRDefault="006C3778" w:rsidP="00672F2B">
      <w:pPr>
        <w:pStyle w:val="Checklistbullet"/>
      </w:pPr>
      <w:r>
        <w:t>Reasons for discharge and discharge condition and recommendations</w:t>
      </w:r>
    </w:p>
    <w:p w14:paraId="3265D067" w14:textId="77777777" w:rsidR="006C3778" w:rsidRDefault="00672F2B" w:rsidP="00672F2B">
      <w:pPr>
        <w:pStyle w:val="Checklistbullet"/>
      </w:pPr>
      <w:r>
        <w:t>Body part or bodily substance</w:t>
      </w:r>
      <w:r w:rsidR="006C3778">
        <w:t xml:space="preserve"> donation activities or plans for donations</w:t>
      </w:r>
    </w:p>
    <w:p w14:paraId="06F8BFA3" w14:textId="791A60D6" w:rsidR="006C3778" w:rsidRDefault="006C3778" w:rsidP="00672F2B">
      <w:pPr>
        <w:pStyle w:val="Checklistbullet"/>
      </w:pPr>
      <w:r>
        <w:t>Identi</w:t>
      </w:r>
      <w:r w:rsidR="00981F6D">
        <w:t>t</w:t>
      </w:r>
      <w:r>
        <w:t>y of individual’s substitute decision maker</w:t>
      </w:r>
    </w:p>
    <w:p w14:paraId="0FDC76E2" w14:textId="77777777" w:rsidR="006C3778" w:rsidRDefault="006C3778" w:rsidP="00672F2B">
      <w:pPr>
        <w:pStyle w:val="Checklistbullet"/>
      </w:pPr>
      <w:r>
        <w:t>Identity of individual’s health care providers</w:t>
      </w:r>
    </w:p>
    <w:p w14:paraId="17C96517" w14:textId="77777777" w:rsidR="006C3778" w:rsidRDefault="006C3778" w:rsidP="00672F2B">
      <w:pPr>
        <w:pStyle w:val="Checklistbullet"/>
      </w:pPr>
      <w:r>
        <w:t xml:space="preserve">OHIP </w:t>
      </w:r>
      <w:r w:rsidR="00113C92">
        <w:t xml:space="preserve">health </w:t>
      </w:r>
      <w:r>
        <w:t>number</w:t>
      </w:r>
      <w:r w:rsidR="00672F2B">
        <w:t xml:space="preserve"> or eligibility for OHIP</w:t>
      </w:r>
    </w:p>
    <w:p w14:paraId="2437E48C" w14:textId="77777777" w:rsidR="006C3778" w:rsidRDefault="00672F2B" w:rsidP="00672F2B">
      <w:pPr>
        <w:pStyle w:val="Checklistbullet"/>
      </w:pPr>
      <w:r>
        <w:t>Insurance benefit coverage or eligibility</w:t>
      </w:r>
    </w:p>
    <w:p w14:paraId="0F478363" w14:textId="77777777" w:rsidR="006C3778" w:rsidRDefault="006C3778" w:rsidP="00672F2B">
      <w:pPr>
        <w:pStyle w:val="Checklistbullet"/>
      </w:pPr>
      <w:r>
        <w:t>Other: __________</w:t>
      </w:r>
    </w:p>
    <w:p w14:paraId="45882D1A" w14:textId="77777777" w:rsidR="00672F2B" w:rsidRDefault="00672F2B" w:rsidP="00672F2B">
      <w:pPr>
        <w:pStyle w:val="Checklistbullet"/>
      </w:pPr>
      <w:r>
        <w:t>Other: __________</w:t>
      </w:r>
    </w:p>
    <w:p w14:paraId="14372ADF" w14:textId="77777777" w:rsidR="00672F2B" w:rsidRDefault="00672F2B" w:rsidP="00672F2B">
      <w:pPr>
        <w:pStyle w:val="Checklistbullet"/>
      </w:pPr>
      <w:r>
        <w:t>Other: __________</w:t>
      </w:r>
    </w:p>
    <w:p w14:paraId="23745A1F" w14:textId="77777777" w:rsidR="002F697C" w:rsidRDefault="002F697C" w:rsidP="002F697C">
      <w:pPr>
        <w:pStyle w:val="Heading1"/>
      </w:pPr>
      <w:bookmarkStart w:id="8" w:name="_Toc454811777"/>
      <w:r>
        <w:lastRenderedPageBreak/>
        <w:t xml:space="preserve">Step 3 – </w:t>
      </w:r>
      <w:r w:rsidR="00A9688B">
        <w:t xml:space="preserve">Identify the Purposes for which you Collect, Use and Disclose </w:t>
      </w:r>
      <w:r>
        <w:t>Personal Health Information</w:t>
      </w:r>
      <w:bookmarkEnd w:id="8"/>
    </w:p>
    <w:p w14:paraId="41B21813" w14:textId="77777777" w:rsidR="002F697C" w:rsidRDefault="002F697C" w:rsidP="002F697C">
      <w:pPr>
        <w:pStyle w:val="Heading2"/>
      </w:pPr>
      <w:bookmarkStart w:id="9" w:name="_Toc454811778"/>
      <w:r>
        <w:t>(a) Principles of Identifying Purposes and Obtaining Consent</w:t>
      </w:r>
      <w:bookmarkEnd w:id="9"/>
    </w:p>
    <w:p w14:paraId="68526F4F" w14:textId="77777777" w:rsidR="002F697C" w:rsidRDefault="002F697C" w:rsidP="002F697C">
      <w:r>
        <w:t>PHIPA generally requires consent for the collection, use and disclosure of personal health information (s. 29). PHIPA provides specific guidance as to what constitutes a valid consent for the collection, use and disclosure of such information.</w:t>
      </w:r>
    </w:p>
    <w:p w14:paraId="3D8524CF" w14:textId="77777777" w:rsidR="002F697C" w:rsidRDefault="002F697C" w:rsidP="002F697C">
      <w:r>
        <w:t xml:space="preserve">For example, implied consent is generally permitted where it is reasonable to assume that </w:t>
      </w:r>
      <w:r w:rsidR="003C6054">
        <w:t xml:space="preserve">the </w:t>
      </w:r>
      <w:r>
        <w:t xml:space="preserve">individual knows the purpose of the collection, use or disclose and their right to give or withhold consent. </w:t>
      </w:r>
      <w:r w:rsidR="006661B1">
        <w:t xml:space="preserve"> If</w:t>
      </w:r>
      <w:r>
        <w:t xml:space="preserve"> the purposes are stated in a poster or brochure readily available and likely to be seen by the individual</w:t>
      </w:r>
      <w:r w:rsidR="003C6054">
        <w:t xml:space="preserve"> (for an example, see Form 1)</w:t>
      </w:r>
      <w:r>
        <w:t xml:space="preserve">, one </w:t>
      </w:r>
      <w:r w:rsidR="00113C92">
        <w:t>may be able to</w:t>
      </w:r>
      <w:r>
        <w:t xml:space="preserve"> assume the individual knows the purpose. </w:t>
      </w:r>
    </w:p>
    <w:p w14:paraId="37E1DD63" w14:textId="77777777" w:rsidR="006661B1" w:rsidRDefault="006661B1" w:rsidP="006661B1">
      <w:pPr>
        <w:jc w:val="both"/>
      </w:pPr>
      <w:r>
        <w:t xml:space="preserve">Importantly, health care practitioners can </w:t>
      </w:r>
      <w:r w:rsidRPr="006661B1">
        <w:t>assume</w:t>
      </w:r>
      <w:r>
        <w:t xml:space="preserve"> that they have an individual’s </w:t>
      </w:r>
      <w:r w:rsidRPr="004F63B3">
        <w:t>implied consent</w:t>
      </w:r>
      <w:r>
        <w:t xml:space="preserve"> to collect, use or disclose personal health information for the provision of health care if the following conditions are met:</w:t>
      </w:r>
    </w:p>
    <w:p w14:paraId="6EF6DDAD" w14:textId="77777777" w:rsidR="006661B1" w:rsidRDefault="006661B1" w:rsidP="006661B1">
      <w:pPr>
        <w:pStyle w:val="ListParagraph"/>
        <w:numPr>
          <w:ilvl w:val="0"/>
          <w:numId w:val="24"/>
        </w:numPr>
        <w:jc w:val="both"/>
      </w:pPr>
      <w:r>
        <w:t>the information was received from the individual, the individual’s substitute decision-maker or another health information custodian;</w:t>
      </w:r>
    </w:p>
    <w:p w14:paraId="0FA33754" w14:textId="77777777" w:rsidR="006661B1" w:rsidRDefault="006661B1" w:rsidP="006661B1">
      <w:pPr>
        <w:pStyle w:val="ListParagraph"/>
        <w:numPr>
          <w:ilvl w:val="0"/>
          <w:numId w:val="24"/>
        </w:numPr>
        <w:jc w:val="both"/>
      </w:pPr>
      <w:r>
        <w:t xml:space="preserve">the information was received for the purpose of providing health care to the individual; </w:t>
      </w:r>
    </w:p>
    <w:p w14:paraId="038E4033" w14:textId="77777777" w:rsidR="006661B1" w:rsidRDefault="006661B1" w:rsidP="006661B1">
      <w:pPr>
        <w:pStyle w:val="ListParagraph"/>
        <w:numPr>
          <w:ilvl w:val="0"/>
          <w:numId w:val="24"/>
        </w:numPr>
        <w:jc w:val="both"/>
      </w:pPr>
      <w:r>
        <w:t xml:space="preserve">the information is collected, used or disclosed for the purpose of providing health care to the individual; </w:t>
      </w:r>
    </w:p>
    <w:p w14:paraId="03419E3A" w14:textId="77777777" w:rsidR="006661B1" w:rsidRDefault="006661B1" w:rsidP="006661B1">
      <w:pPr>
        <w:pStyle w:val="ListParagraph"/>
        <w:numPr>
          <w:ilvl w:val="0"/>
          <w:numId w:val="24"/>
        </w:numPr>
        <w:jc w:val="both"/>
      </w:pPr>
      <w:r>
        <w:t xml:space="preserve">if information is being disclosed, it must only be disclosed to another health information custodian; </w:t>
      </w:r>
      <w:r w:rsidRPr="006661B1">
        <w:t>and</w:t>
      </w:r>
      <w:r>
        <w:t xml:space="preserve"> </w:t>
      </w:r>
    </w:p>
    <w:p w14:paraId="075FC54E" w14:textId="77777777" w:rsidR="006661B1" w:rsidRPr="00DD03A0" w:rsidRDefault="006661B1" w:rsidP="006661B1">
      <w:pPr>
        <w:pStyle w:val="ListParagraph"/>
        <w:numPr>
          <w:ilvl w:val="0"/>
          <w:numId w:val="24"/>
        </w:numPr>
        <w:jc w:val="both"/>
      </w:pPr>
      <w:r>
        <w:t xml:space="preserve">the individual has </w:t>
      </w:r>
      <w:r w:rsidRPr="006661B1">
        <w:t>not</w:t>
      </w:r>
      <w:r>
        <w:t xml:space="preserve"> withheld or withdrawn consent.</w:t>
      </w:r>
    </w:p>
    <w:p w14:paraId="0020F797" w14:textId="77777777" w:rsidR="006661B1" w:rsidRDefault="006661B1" w:rsidP="006661B1">
      <w:r>
        <w:t>While this term is not defined in PHIPA, this is commonly referred to as sharing personal health information within the “</w:t>
      </w:r>
      <w:r w:rsidRPr="006661B1">
        <w:t>circle of care</w:t>
      </w:r>
      <w:r>
        <w:t>”</w:t>
      </w:r>
      <w:r>
        <w:rPr>
          <w:b/>
        </w:rPr>
        <w:t xml:space="preserve"> </w:t>
      </w:r>
      <w:r>
        <w:t>(s. 18-20).</w:t>
      </w:r>
    </w:p>
    <w:p w14:paraId="0BC71372" w14:textId="77777777" w:rsidR="002F697C" w:rsidRDefault="002F697C" w:rsidP="002F697C">
      <w:r>
        <w:t>Express consent (verbal or written) is needed, however, to disclose personal health information to a non-custodian</w:t>
      </w:r>
      <w:r w:rsidR="003C6054">
        <w:t xml:space="preserve"> and</w:t>
      </w:r>
      <w:r>
        <w:t xml:space="preserve"> to disclose personal health information to another custodian for purposes other than the provision of health care</w:t>
      </w:r>
      <w:r w:rsidR="003C6054">
        <w:t xml:space="preserve">. </w:t>
      </w:r>
      <w:r w:rsidR="00FC1FEF">
        <w:t xml:space="preserve">Express consent is also required to collect and use an individual’s health number to verify their identity </w:t>
      </w:r>
      <w:r w:rsidR="00113C92">
        <w:t xml:space="preserve">or </w:t>
      </w:r>
      <w:r w:rsidR="00FC1FEF">
        <w:t>to locate other personal health records related to the individual.</w:t>
      </w:r>
      <w:r w:rsidR="003C6054">
        <w:t xml:space="preserve"> In addition, express consent is required for </w:t>
      </w:r>
      <w:r>
        <w:t xml:space="preserve">certain fundraising </w:t>
      </w:r>
      <w:r w:rsidR="003C6054">
        <w:t xml:space="preserve">and marketing </w:t>
      </w:r>
      <w:r>
        <w:t xml:space="preserve">activities (s. 18-20, </w:t>
      </w:r>
      <w:r w:rsidR="003C6054">
        <w:t>32-</w:t>
      </w:r>
      <w:r>
        <w:t>33).</w:t>
      </w:r>
    </w:p>
    <w:p w14:paraId="6F41BE74" w14:textId="77777777" w:rsidR="002F697C" w:rsidRDefault="002F697C" w:rsidP="002F697C">
      <w:r>
        <w:t>Practitioners can assume that a written consent is valid unless provided with grounds to the contrary (s. 20).</w:t>
      </w:r>
      <w:r w:rsidR="00F772ED">
        <w:t xml:space="preserve">  </w:t>
      </w:r>
    </w:p>
    <w:p w14:paraId="483458BD" w14:textId="77777777" w:rsidR="002F697C" w:rsidRDefault="002F697C" w:rsidP="002F697C">
      <w:r w:rsidRPr="00FF1841">
        <w:lastRenderedPageBreak/>
        <w:t xml:space="preserve">A direction from a client not to record pertinent information is invalid (ss. 19(2)). </w:t>
      </w:r>
      <w:r w:rsidR="00E55323" w:rsidRPr="00FF1841">
        <w:t xml:space="preserve"> However, a</w:t>
      </w:r>
      <w:r w:rsidRPr="00FF1841">
        <w:t xml:space="preserve"> client </w:t>
      </w:r>
      <w:r w:rsidR="00E55323" w:rsidRPr="00FF1841">
        <w:t xml:space="preserve">may </w:t>
      </w:r>
      <w:r w:rsidRPr="00FF1841">
        <w:t xml:space="preserve">direct that part of </w:t>
      </w:r>
      <w:r w:rsidR="00E55323" w:rsidRPr="00FF1841">
        <w:t>his or her</w:t>
      </w:r>
      <w:r w:rsidRPr="00FF1841">
        <w:t xml:space="preserve"> file not be given to another custodian</w:t>
      </w:r>
      <w:r w:rsidR="00E55323" w:rsidRPr="00FF1841">
        <w:t>.  This is commonly referred to as placing that information in a “lock-box”.</w:t>
      </w:r>
      <w:r w:rsidR="00FF1841">
        <w:rPr>
          <w:rStyle w:val="FootnoteReference"/>
        </w:rPr>
        <w:footnoteReference w:id="4"/>
      </w:r>
      <w:r w:rsidR="00E55323" w:rsidRPr="00FF1841">
        <w:t xml:space="preserve">  </w:t>
      </w:r>
      <w:r w:rsidR="004C08EC">
        <w:t>If</w:t>
      </w:r>
      <w:r w:rsidR="00E55323" w:rsidRPr="00FF1841">
        <w:t xml:space="preserve"> </w:t>
      </w:r>
      <w:r w:rsidRPr="00FF1841">
        <w:t xml:space="preserve">the custodian </w:t>
      </w:r>
      <w:r w:rsidR="00C54860">
        <w:t>believes</w:t>
      </w:r>
      <w:r w:rsidRPr="00FF1841">
        <w:t xml:space="preserve"> that the other custodian needs the </w:t>
      </w:r>
      <w:r w:rsidR="004C08EC">
        <w:t xml:space="preserve">“locked” </w:t>
      </w:r>
      <w:r w:rsidRPr="00FF1841">
        <w:t xml:space="preserve">information, the disclosing custodian </w:t>
      </w:r>
      <w:r w:rsidR="0011693B" w:rsidRPr="00FF1841">
        <w:t>must</w:t>
      </w:r>
      <w:r w:rsidRPr="00FF1841">
        <w:t xml:space="preserve"> advise the receiving custodian that some relevant information has been withheld at the direction of the client</w:t>
      </w:r>
      <w:r w:rsidR="00280649" w:rsidRPr="00FF1841">
        <w:t xml:space="preserve"> (but not what that withheld information is) </w:t>
      </w:r>
      <w:r w:rsidRPr="00FF1841">
        <w:t>(ss. 20</w:t>
      </w:r>
      <w:r w:rsidR="00FF1841">
        <w:t>(2) and 20</w:t>
      </w:r>
      <w:r w:rsidRPr="00FF1841">
        <w:t>(3)).</w:t>
      </w:r>
    </w:p>
    <w:p w14:paraId="1B3D2C98" w14:textId="77777777" w:rsidR="002F697C" w:rsidRDefault="002F697C" w:rsidP="002F697C">
      <w:r>
        <w:t xml:space="preserve">PHIPA also provides </w:t>
      </w:r>
      <w:r w:rsidR="0011693B">
        <w:t>for the collection of</w:t>
      </w:r>
      <w:r>
        <w:t xml:space="preserve"> personal health information from someone other than the client. Indirect collection is permitted, even without consent, if necessary for health care where obtaining consent would affect the accuracy or timeliness of the information (s. 36).</w:t>
      </w:r>
    </w:p>
    <w:p w14:paraId="14E48635" w14:textId="77777777" w:rsidR="002F697C" w:rsidRDefault="002F697C" w:rsidP="002F697C">
      <w:r>
        <w:t>PHIPA provides detailed rules for obtaining substituted consent where the individual is not capable of understanding the information issue or appreciating its reasonably foreseeable consequences. The rules for substituted consent are very similar to those for treatment of incapable persons. One can presume an individual is capable until it becomes apparent that he or she is not capable (s. 21). The substituted decision maker for handling of treatment information issues is generally the same as the substituted decision maker for treatment decisions (s. 5). If the information issue is not related directly to treatment, the list of substituted decision makers is very similar to that unde</w:t>
      </w:r>
      <w:r w:rsidR="00B116DA">
        <w:t xml:space="preserve">r the </w:t>
      </w:r>
      <w:r w:rsidR="00B116DA" w:rsidRPr="00B116DA">
        <w:rPr>
          <w:i/>
        </w:rPr>
        <w:t xml:space="preserve">Health </w:t>
      </w:r>
      <w:r w:rsidRPr="00B116DA">
        <w:rPr>
          <w:i/>
        </w:rPr>
        <w:t>Care Consent Act</w:t>
      </w:r>
      <w:r w:rsidR="0011693B">
        <w:rPr>
          <w:i/>
        </w:rPr>
        <w:t>, 1996</w:t>
      </w:r>
      <w:r w:rsidRPr="00B116DA">
        <w:rPr>
          <w:i/>
        </w:rPr>
        <w:t xml:space="preserve"> </w:t>
      </w:r>
      <w:r>
        <w:t>(s. 23). One minor difference is that a capable person can authorize someone in writing to act on his or her behalf. Another difference is that a custodial parent can authorize decisions affecting the personal health information of their child 15 years or younger unless the child disagrees, the child consented to the original treatment on his or her own or for some family counselling situations (s. 23). A third difference is that a guardian or attorney for property can act as a substitute (ss. 26(1)).</w:t>
      </w:r>
    </w:p>
    <w:p w14:paraId="1DFD6191" w14:textId="77777777" w:rsidR="002F697C" w:rsidRDefault="002F697C" w:rsidP="002F697C">
      <w:r>
        <w:t xml:space="preserve">PHIPA has specific rules about fundraising. Generally express consent is required to use the information from a client chart for fundraising. Implied consent (perhaps through a posted </w:t>
      </w:r>
      <w:r w:rsidR="00442418">
        <w:t>written public statement</w:t>
      </w:r>
      <w:r>
        <w:t xml:space="preserve">) is permitted in limited circumstances (e.g., </w:t>
      </w:r>
      <w:r w:rsidR="00442418">
        <w:t>the custodian</w:t>
      </w:r>
      <w:r>
        <w:t xml:space="preserve"> can only use the name and mailing address </w:t>
      </w:r>
      <w:r w:rsidR="00442418">
        <w:t xml:space="preserve">of the individual, the fundraising must be </w:t>
      </w:r>
      <w:r>
        <w:t>for a charitable purpose</w:t>
      </w:r>
      <w:r w:rsidR="00442418">
        <w:t xml:space="preserve"> related to the custodian’s operations, the individual must be provided with an easy way to opt out </w:t>
      </w:r>
      <w:r>
        <w:t xml:space="preserve">and the fundraising request must not reveal anything about the individual’s health) (s. 32 of </w:t>
      </w:r>
      <w:r w:rsidR="00A974D9">
        <w:t>PHIPA</w:t>
      </w:r>
      <w:r>
        <w:t xml:space="preserve"> and s. </w:t>
      </w:r>
      <w:r w:rsidR="00442418">
        <w:t>10</w:t>
      </w:r>
      <w:r w:rsidR="003A1E12">
        <w:t xml:space="preserve"> of the regulations</w:t>
      </w:r>
      <w:r>
        <w:t>).</w:t>
      </w:r>
    </w:p>
    <w:p w14:paraId="1C94C800" w14:textId="77777777" w:rsidR="002F697C" w:rsidRDefault="002F697C" w:rsidP="002F697C">
      <w:r>
        <w:t>Fees cannot be charged for collecting and using personal health information. Only reasonable fees can be charged for the disclosure of personal health information</w:t>
      </w:r>
      <w:r w:rsidR="00463B52">
        <w:t xml:space="preserve"> (s. 35)</w:t>
      </w:r>
      <w:r>
        <w:t xml:space="preserve">. </w:t>
      </w:r>
      <w:r w:rsidR="00B36318">
        <w:t>T</w:t>
      </w:r>
      <w:r w:rsidR="00280649" w:rsidRPr="00280649">
        <w:t xml:space="preserve">he Information and Privacy Commissioner </w:t>
      </w:r>
      <w:r w:rsidR="00F772ED">
        <w:t xml:space="preserve">of Ontario </w:t>
      </w:r>
      <w:r w:rsidR="00BE6CA4">
        <w:t xml:space="preserve">has </w:t>
      </w:r>
      <w:r w:rsidR="00280649" w:rsidRPr="00280649">
        <w:t>established guidelines</w:t>
      </w:r>
      <w:r w:rsidR="00F772ED">
        <w:t xml:space="preserve"> for charging fees</w:t>
      </w:r>
      <w:r w:rsidR="00BE6CA4">
        <w:t xml:space="preserve">. According to </w:t>
      </w:r>
      <w:r w:rsidR="00F310DC">
        <w:lastRenderedPageBreak/>
        <w:t>decisions made by the Information and Privacy Commissioner</w:t>
      </w:r>
      <w:r w:rsidR="00BE6CA4">
        <w:t>, it is</w:t>
      </w:r>
      <w:r w:rsidR="00280649" w:rsidRPr="00280649">
        <w:t xml:space="preserve"> reasonable </w:t>
      </w:r>
      <w:r w:rsidR="00BE6CA4">
        <w:t xml:space="preserve">to charge </w:t>
      </w:r>
      <w:r w:rsidR="00280649" w:rsidRPr="00280649">
        <w:t xml:space="preserve">$30.00 for </w:t>
      </w:r>
      <w:r w:rsidR="00BE6CA4">
        <w:t xml:space="preserve">processing a request and copying </w:t>
      </w:r>
      <w:r w:rsidR="00280649" w:rsidRPr="00280649">
        <w:t>the first 20 pages</w:t>
      </w:r>
      <w:r w:rsidR="00BE6CA4">
        <w:t>,</w:t>
      </w:r>
      <w:r w:rsidR="00280649" w:rsidRPr="00280649">
        <w:t xml:space="preserve"> and</w:t>
      </w:r>
      <w:r w:rsidR="00BE6CA4">
        <w:t xml:space="preserve"> then</w:t>
      </w:r>
      <w:r w:rsidR="00280649" w:rsidRPr="00280649">
        <w:t xml:space="preserve"> 25 cents for every additional page</w:t>
      </w:r>
      <w:r>
        <w:t>.</w:t>
      </w:r>
      <w:r w:rsidR="00FF1841">
        <w:rPr>
          <w:rStyle w:val="FootnoteReference"/>
        </w:rPr>
        <w:footnoteReference w:id="5"/>
      </w:r>
    </w:p>
    <w:p w14:paraId="12C9770D" w14:textId="77777777" w:rsidR="00EB66B2" w:rsidRDefault="00F17989" w:rsidP="00EB66B2">
      <w:pPr>
        <w:pStyle w:val="Heading2"/>
      </w:pPr>
      <w:bookmarkStart w:id="10" w:name="_Toc454811779"/>
      <w:r>
        <w:t>(b</w:t>
      </w:r>
      <w:r w:rsidR="00EB66B2">
        <w:t>) Principles of Use and Disclosure</w:t>
      </w:r>
      <w:bookmarkEnd w:id="10"/>
    </w:p>
    <w:p w14:paraId="55E8F966" w14:textId="77777777" w:rsidR="00EB66B2" w:rsidRDefault="00EB66B2" w:rsidP="00EB66B2">
      <w:r>
        <w:t>PHIPA provides some flexibility for the use of personal health information without consent. For example, personal health information can be used without consent for a purpose of planning or delivering programs, risk management, educating practitioners and some research situations (ss. 37(1)).</w:t>
      </w:r>
    </w:p>
    <w:p w14:paraId="65B4A96D" w14:textId="77777777" w:rsidR="00EB66B2" w:rsidRDefault="00EB66B2" w:rsidP="00EB66B2">
      <w:r>
        <w:t>Similarly, PHIPA provides for the disclosure of personal health information without consent, including disclosure in the following circumstances:</w:t>
      </w:r>
    </w:p>
    <w:p w14:paraId="5ED49F99" w14:textId="77777777" w:rsidR="00EB66B2" w:rsidRDefault="00EB66B2" w:rsidP="00C554B0">
      <w:pPr>
        <w:pStyle w:val="ListParagraph"/>
        <w:numPr>
          <w:ilvl w:val="0"/>
          <w:numId w:val="4"/>
        </w:numPr>
      </w:pPr>
      <w:r>
        <w:t>to other practitioners or facilities for the provision of health care</w:t>
      </w:r>
      <w:r w:rsidR="00B4377A">
        <w:t>, if it is not reasonably possible to obtain consent in a timely manner</w:t>
      </w:r>
      <w:r w:rsidR="00C554B0">
        <w:t xml:space="preserve"> </w:t>
      </w:r>
      <w:r w:rsidR="00C554B0" w:rsidRPr="00C554B0">
        <w:t>so long as the client has not object</w:t>
      </w:r>
      <w:r w:rsidR="00C554B0">
        <w:t>ed</w:t>
      </w:r>
      <w:r w:rsidR="00C554B0" w:rsidRPr="00C554B0">
        <w:t xml:space="preserve"> to such disclosure</w:t>
      </w:r>
      <w:r w:rsidR="00412B47">
        <w:t>;</w:t>
      </w:r>
    </w:p>
    <w:p w14:paraId="1DFBAB18" w14:textId="77777777" w:rsidR="00CA0E83" w:rsidRDefault="00CA0E83" w:rsidP="00C554B0">
      <w:pPr>
        <w:pStyle w:val="ListParagraph"/>
        <w:numPr>
          <w:ilvl w:val="0"/>
          <w:numId w:val="4"/>
        </w:numPr>
      </w:pPr>
      <w:r>
        <w:t xml:space="preserve">to Ontario Health Teams in accordance with </w:t>
      </w:r>
      <w:r w:rsidR="00785325">
        <w:t xml:space="preserve">the </w:t>
      </w:r>
      <w:r>
        <w:t>specified requirements;</w:t>
      </w:r>
    </w:p>
    <w:p w14:paraId="5ADF6A85" w14:textId="77777777" w:rsidR="00EB66B2" w:rsidRDefault="0093595E" w:rsidP="00EB66B2">
      <w:pPr>
        <w:pStyle w:val="ListParagraph"/>
        <w:numPr>
          <w:ilvl w:val="0"/>
          <w:numId w:val="4"/>
        </w:numPr>
      </w:pPr>
      <w:r>
        <w:t xml:space="preserve">to </w:t>
      </w:r>
      <w:r w:rsidR="00EB66B2">
        <w:t>confirm the presence, location and general health status (e.g., critical, poor, fair) of a client in a facility so long as the client has not objected when offered an opportunity to do so</w:t>
      </w:r>
      <w:r w:rsidR="00412B47">
        <w:t>;</w:t>
      </w:r>
    </w:p>
    <w:p w14:paraId="48065000" w14:textId="77777777" w:rsidR="00EB66B2" w:rsidRDefault="00EB66B2" w:rsidP="00EB66B2">
      <w:pPr>
        <w:pStyle w:val="ListParagraph"/>
        <w:numPr>
          <w:ilvl w:val="0"/>
          <w:numId w:val="4"/>
        </w:numPr>
      </w:pPr>
      <w:r>
        <w:t>in respect of a deceased individual for the purpose of identifying him or her, notifying family and friends of the death and to permit relatives to make relevant decisions about their own health</w:t>
      </w:r>
      <w:r w:rsidR="00412B47">
        <w:t>;</w:t>
      </w:r>
    </w:p>
    <w:p w14:paraId="3537E81E" w14:textId="77777777" w:rsidR="00EB66B2" w:rsidRDefault="00EB66B2" w:rsidP="00EB66B2">
      <w:pPr>
        <w:pStyle w:val="ListParagraph"/>
        <w:numPr>
          <w:ilvl w:val="0"/>
          <w:numId w:val="4"/>
        </w:numPr>
      </w:pPr>
      <w:r>
        <w:t>for audit and accreditation purposes</w:t>
      </w:r>
      <w:r w:rsidR="00412B47">
        <w:t>;</w:t>
      </w:r>
    </w:p>
    <w:p w14:paraId="3CD091C1" w14:textId="77777777" w:rsidR="00EB66B2" w:rsidRDefault="00EB66B2" w:rsidP="00EB66B2">
      <w:pPr>
        <w:pStyle w:val="ListParagraph"/>
        <w:numPr>
          <w:ilvl w:val="0"/>
          <w:numId w:val="4"/>
        </w:numPr>
      </w:pPr>
      <w:r>
        <w:t>to address a significant risk of serious bodily harm to a person or group</w:t>
      </w:r>
      <w:r w:rsidR="00412B47">
        <w:t>;</w:t>
      </w:r>
    </w:p>
    <w:p w14:paraId="28745E33" w14:textId="77777777" w:rsidR="00CA0E83" w:rsidRDefault="00CA0E83" w:rsidP="00CA0E83">
      <w:pPr>
        <w:pStyle w:val="ListParagraph"/>
        <w:numPr>
          <w:ilvl w:val="0"/>
          <w:numId w:val="4"/>
        </w:numPr>
      </w:pPr>
      <w:r w:rsidRPr="00CA0E83">
        <w:t xml:space="preserve">in relation to the </w:t>
      </w:r>
      <w:r w:rsidRPr="00CA0E83">
        <w:rPr>
          <w:i/>
        </w:rPr>
        <w:t>Immunization of School Pupils Act</w:t>
      </w:r>
      <w:r>
        <w:t>;</w:t>
      </w:r>
    </w:p>
    <w:p w14:paraId="134E9024" w14:textId="77777777" w:rsidR="00B4377A" w:rsidRDefault="00EB66B2" w:rsidP="00B4377A">
      <w:pPr>
        <w:pStyle w:val="ListParagraph"/>
        <w:numPr>
          <w:ilvl w:val="0"/>
          <w:numId w:val="4"/>
        </w:numPr>
      </w:pPr>
      <w:r>
        <w:t>to potential and actual successors of the custodian (although potential successors must provide a written confidentiality assurance and affected individuals must be notified of any actual transfer of records to a successor)</w:t>
      </w:r>
      <w:r w:rsidR="00412B47">
        <w:t>;</w:t>
      </w:r>
    </w:p>
    <w:p w14:paraId="47FC5EBD" w14:textId="77777777" w:rsidR="00EB66B2" w:rsidRDefault="00EB66B2" w:rsidP="00EB66B2">
      <w:pPr>
        <w:pStyle w:val="ListParagraph"/>
        <w:numPr>
          <w:ilvl w:val="0"/>
          <w:numId w:val="5"/>
        </w:numPr>
      </w:pPr>
      <w:r>
        <w:t xml:space="preserve">to assess capacity under the </w:t>
      </w:r>
      <w:r w:rsidRPr="00B4377A">
        <w:rPr>
          <w:i/>
        </w:rPr>
        <w:t>Health Care Consent Act</w:t>
      </w:r>
      <w:r w:rsidR="00B4377A">
        <w:rPr>
          <w:i/>
        </w:rPr>
        <w:t>, 1996</w:t>
      </w:r>
      <w:r>
        <w:t xml:space="preserve"> and the </w:t>
      </w:r>
      <w:r w:rsidRPr="00B4377A">
        <w:rPr>
          <w:i/>
        </w:rPr>
        <w:t>Substitute Decisions Act</w:t>
      </w:r>
      <w:r w:rsidR="00B4377A">
        <w:rPr>
          <w:i/>
        </w:rPr>
        <w:t>, 1992</w:t>
      </w:r>
      <w:r w:rsidR="00412B47">
        <w:t>;</w:t>
      </w:r>
    </w:p>
    <w:p w14:paraId="37CB5233" w14:textId="77777777" w:rsidR="00EB66B2" w:rsidRDefault="00EB66B2" w:rsidP="00EB66B2">
      <w:pPr>
        <w:pStyle w:val="ListParagraph"/>
        <w:numPr>
          <w:ilvl w:val="0"/>
          <w:numId w:val="5"/>
        </w:numPr>
      </w:pPr>
      <w:r>
        <w:t>to a health regulatory College</w:t>
      </w:r>
      <w:r w:rsidR="00412B47">
        <w:t>;</w:t>
      </w:r>
    </w:p>
    <w:p w14:paraId="0E1D4AB1" w14:textId="77777777" w:rsidR="00EB66B2" w:rsidRDefault="00EB66B2" w:rsidP="00EB66B2">
      <w:pPr>
        <w:pStyle w:val="ListParagraph"/>
        <w:numPr>
          <w:ilvl w:val="0"/>
          <w:numId w:val="5"/>
        </w:numPr>
      </w:pPr>
      <w:r>
        <w:lastRenderedPageBreak/>
        <w:t>in order to cooperate with a statutorily authorized inspection, investigation or similar proceeding</w:t>
      </w:r>
      <w:r w:rsidR="00412B47">
        <w:t>;</w:t>
      </w:r>
    </w:p>
    <w:p w14:paraId="14C72BD0" w14:textId="77777777" w:rsidR="00B4377A" w:rsidRDefault="00B4377A" w:rsidP="00EB66B2">
      <w:pPr>
        <w:pStyle w:val="ListParagraph"/>
        <w:numPr>
          <w:ilvl w:val="0"/>
          <w:numId w:val="5"/>
        </w:numPr>
      </w:pPr>
      <w:r>
        <w:t>in legal proceedings where the custodian or agent is or is expected to be a party or witness</w:t>
      </w:r>
      <w:r w:rsidR="00412B47">
        <w:t>;</w:t>
      </w:r>
      <w:r>
        <w:t xml:space="preserve"> </w:t>
      </w:r>
    </w:p>
    <w:p w14:paraId="37E8974A" w14:textId="77777777" w:rsidR="00EB66B2" w:rsidRDefault="00EB66B2" w:rsidP="00EB66B2">
      <w:pPr>
        <w:pStyle w:val="ListParagraph"/>
        <w:numPr>
          <w:ilvl w:val="0"/>
          <w:numId w:val="5"/>
        </w:numPr>
      </w:pPr>
      <w:r>
        <w:t>in some research situations</w:t>
      </w:r>
      <w:r w:rsidR="00412B47">
        <w:t xml:space="preserve"> (subject to approval by a research ethics board);</w:t>
      </w:r>
    </w:p>
    <w:p w14:paraId="7100CBB8" w14:textId="77777777" w:rsidR="00EB66B2" w:rsidRDefault="00EB66B2" w:rsidP="00EB66B2">
      <w:pPr>
        <w:pStyle w:val="ListParagraph"/>
        <w:numPr>
          <w:ilvl w:val="0"/>
          <w:numId w:val="5"/>
        </w:numPr>
      </w:pPr>
      <w:r>
        <w:t>in some health planning and management purposes</w:t>
      </w:r>
      <w:r w:rsidR="00CA0E83">
        <w:t xml:space="preserve"> including to Ontario Health</w:t>
      </w:r>
      <w:r w:rsidR="00412B47">
        <w:t>;</w:t>
      </w:r>
    </w:p>
    <w:p w14:paraId="469449E1" w14:textId="77777777" w:rsidR="00EB66B2" w:rsidRDefault="00EB66B2" w:rsidP="00EB66B2">
      <w:pPr>
        <w:pStyle w:val="ListParagraph"/>
        <w:numPr>
          <w:ilvl w:val="0"/>
          <w:numId w:val="5"/>
        </w:numPr>
      </w:pPr>
      <w:r>
        <w:t>to assist in the monitoring of public health funding</w:t>
      </w:r>
      <w:r w:rsidR="00412B47">
        <w:t>;</w:t>
      </w:r>
    </w:p>
    <w:p w14:paraId="41E31647" w14:textId="77777777" w:rsidR="00EB66B2" w:rsidRDefault="00EB66B2" w:rsidP="00EB66B2">
      <w:pPr>
        <w:pStyle w:val="ListParagraph"/>
        <w:numPr>
          <w:ilvl w:val="0"/>
          <w:numId w:val="5"/>
        </w:numPr>
      </w:pPr>
      <w:r>
        <w:t>to a health data institute under various rules and restrictions</w:t>
      </w:r>
      <w:r w:rsidR="00412B47">
        <w:t>;</w:t>
      </w:r>
      <w:r>
        <w:t xml:space="preserve"> and</w:t>
      </w:r>
    </w:p>
    <w:p w14:paraId="3FDA7DF5" w14:textId="77777777" w:rsidR="00EB66B2" w:rsidRDefault="00EB66B2" w:rsidP="00EB66B2">
      <w:pPr>
        <w:pStyle w:val="ListParagraph"/>
        <w:numPr>
          <w:ilvl w:val="0"/>
          <w:numId w:val="5"/>
        </w:numPr>
      </w:pPr>
      <w:r>
        <w:t xml:space="preserve">if permitted </w:t>
      </w:r>
      <w:r w:rsidR="00412B47">
        <w:t>or required by law</w:t>
      </w:r>
      <w:r>
        <w:t xml:space="preserve"> (ss.38-47).</w:t>
      </w:r>
    </w:p>
    <w:p w14:paraId="3C1EE384" w14:textId="77777777" w:rsidR="00EB66B2" w:rsidRDefault="00EB66B2" w:rsidP="00EB66B2">
      <w:r>
        <w:t xml:space="preserve">In a rare application of PHIPA to non-custodians, non-custodians are restricted in their ability to use personal health information disclosed to them by a custodian. Non-custodians can only use or disclose the information for the purpose for which they have received it or for the purpose of carrying out their statutory duties (s. 49). For example, if the College </w:t>
      </w:r>
      <w:r w:rsidR="0093595E">
        <w:t xml:space="preserve">(a non-custodian) </w:t>
      </w:r>
      <w:r>
        <w:t xml:space="preserve">received information while investigating a complaint, the College could then use that same information </w:t>
      </w:r>
      <w:r w:rsidR="00412B47">
        <w:t>to prosecute</w:t>
      </w:r>
      <w:r>
        <w:t xml:space="preserve"> an unregistered person performing a controlled act.</w:t>
      </w:r>
    </w:p>
    <w:p w14:paraId="080B0BAF" w14:textId="77777777" w:rsidR="00EB66B2" w:rsidRDefault="00EB66B2" w:rsidP="00EB66B2">
      <w:r>
        <w:t>PHIPA also provides rules for disclosure of personal health information outside of Ontario without consent. Such disclosure is possible for the provision of health care (unless the individual expressly refuses the disclosure), to a regulator of health practitioners, for payment purposes and if permitted by statute (s. 50).</w:t>
      </w:r>
    </w:p>
    <w:p w14:paraId="2ACBEC0D" w14:textId="77777777" w:rsidR="00EB66B2" w:rsidRDefault="00EB66B2" w:rsidP="002F697C"/>
    <w:p w14:paraId="6C2B8064" w14:textId="77777777" w:rsidR="002F697C" w:rsidRDefault="002F697C" w:rsidP="00B116DA">
      <w:pPr>
        <w:pStyle w:val="Heading2"/>
      </w:pPr>
      <w:bookmarkStart w:id="11" w:name="_Toc454811780"/>
      <w:r>
        <w:t>(</w:t>
      </w:r>
      <w:r w:rsidR="00F17989">
        <w:t>c</w:t>
      </w:r>
      <w:r>
        <w:t xml:space="preserve">) Primary Purpose </w:t>
      </w:r>
      <w:r w:rsidR="003A1E12">
        <w:t xml:space="preserve">for </w:t>
      </w:r>
      <w:r w:rsidR="00EB66B2">
        <w:t>Collecting, Using and Disclosing Personal Health Information</w:t>
      </w:r>
      <w:bookmarkEnd w:id="11"/>
      <w:r>
        <w:t xml:space="preserve"> </w:t>
      </w:r>
    </w:p>
    <w:tbl>
      <w:tblPr>
        <w:tblStyle w:val="TableGrid"/>
        <w:tblW w:w="0" w:type="auto"/>
        <w:tblLook w:val="04A0" w:firstRow="1" w:lastRow="0" w:firstColumn="1" w:lastColumn="0" w:noHBand="0" w:noVBand="1"/>
      </w:tblPr>
      <w:tblGrid>
        <w:gridCol w:w="9350"/>
      </w:tblGrid>
      <w:tr w:rsidR="003A1E12" w14:paraId="2749FFEE" w14:textId="77777777" w:rsidTr="003A1E12">
        <w:tc>
          <w:tcPr>
            <w:tcW w:w="9576" w:type="dxa"/>
          </w:tcPr>
          <w:p w14:paraId="5BE97C14" w14:textId="77777777" w:rsidR="003A1E12" w:rsidRPr="003A1E12" w:rsidRDefault="003A1E12" w:rsidP="00F310DC">
            <w:pPr>
              <w:rPr>
                <w:i/>
              </w:rPr>
            </w:pPr>
            <w:r w:rsidRPr="003A1E12">
              <w:rPr>
                <w:i/>
              </w:rPr>
              <w:t xml:space="preserve">Generally, the primary purpose for which a </w:t>
            </w:r>
            <w:r>
              <w:rPr>
                <w:i/>
              </w:rPr>
              <w:t>health professional collects</w:t>
            </w:r>
            <w:r w:rsidR="00EB66B2">
              <w:rPr>
                <w:i/>
              </w:rPr>
              <w:t>, uses and discloses</w:t>
            </w:r>
            <w:r>
              <w:rPr>
                <w:i/>
              </w:rPr>
              <w:t xml:space="preserve"> personal information is to provide clients with health services. This might be described as follows: “We collect</w:t>
            </w:r>
            <w:r w:rsidR="00EB66B2">
              <w:rPr>
                <w:i/>
              </w:rPr>
              <w:t>, use and disclose</w:t>
            </w:r>
            <w:r>
              <w:rPr>
                <w:i/>
              </w:rPr>
              <w:t xml:space="preserve"> information about your health history, your physical condition and function and your social situation in order to help us assess what your needs are, to advise you of your options and then to provide the health care you choose to have.” A second primary purpose may be to obtain a baseline of health and social information so that in providing ongoing health services, changes can be identified. Identify the primary purposes for which you collect</w:t>
            </w:r>
            <w:r w:rsidR="00EB66B2">
              <w:rPr>
                <w:i/>
              </w:rPr>
              <w:t>, use and disclose</w:t>
            </w:r>
            <w:r>
              <w:rPr>
                <w:i/>
              </w:rPr>
              <w:t xml:space="preserve"> personal health information.</w:t>
            </w:r>
          </w:p>
        </w:tc>
      </w:tr>
    </w:tbl>
    <w:p w14:paraId="5CEC202E" w14:textId="77777777" w:rsidR="002F697C" w:rsidRDefault="002F697C" w:rsidP="002F697C"/>
    <w:p w14:paraId="699B72EE" w14:textId="77777777" w:rsidR="003A1E12" w:rsidRDefault="003A1E12" w:rsidP="002F697C">
      <w:r>
        <w:t>Primary Purpose #1: _____________________________________________________________</w:t>
      </w:r>
    </w:p>
    <w:p w14:paraId="0B94F5B9" w14:textId="77777777" w:rsidR="003A1E12" w:rsidRDefault="003A1E12" w:rsidP="002F697C">
      <w:r>
        <w:t>Brief Description of the Purpose: ___________________________________________________</w:t>
      </w:r>
      <w:r>
        <w:br/>
        <w:t>____________________________________________________________________________________________________________________________________________________________</w:t>
      </w:r>
    </w:p>
    <w:p w14:paraId="6CA364D7" w14:textId="77777777" w:rsidR="003A1E12" w:rsidRDefault="003A1E12" w:rsidP="002F697C"/>
    <w:p w14:paraId="53607381" w14:textId="77777777" w:rsidR="003A1E12" w:rsidRDefault="003A1E12" w:rsidP="003A1E12">
      <w:r>
        <w:t>Primary Purpose #2: _____________________________________________________________</w:t>
      </w:r>
    </w:p>
    <w:p w14:paraId="363C0F2E" w14:textId="77777777" w:rsidR="003A1E12" w:rsidRDefault="003A1E12" w:rsidP="003A1E12">
      <w:r>
        <w:t>Brief Description of the Purpose: ___________________________________________________</w:t>
      </w:r>
      <w:r>
        <w:br/>
        <w:t>____________________________________________________________________________________________________________________________________________________________</w:t>
      </w:r>
    </w:p>
    <w:p w14:paraId="391F2018" w14:textId="77777777" w:rsidR="003A1E12" w:rsidRDefault="003A1E12" w:rsidP="002F697C"/>
    <w:p w14:paraId="7A1EFE06" w14:textId="77777777" w:rsidR="003A1E12" w:rsidRDefault="003A1E12" w:rsidP="003A1E12">
      <w:r>
        <w:t>Primary Purpose #3: _____________________________________________________________</w:t>
      </w:r>
    </w:p>
    <w:p w14:paraId="12042D0F" w14:textId="77777777" w:rsidR="003A1E12" w:rsidRDefault="003A1E12" w:rsidP="003A1E12">
      <w:r>
        <w:t>Brief Description of the Purpose: ___________________________________________________</w:t>
      </w:r>
      <w:r>
        <w:br/>
        <w:t>____________________________________________________________________________________________________________________________________________________________</w:t>
      </w:r>
    </w:p>
    <w:p w14:paraId="45415C1C" w14:textId="77777777" w:rsidR="003A1E12" w:rsidRDefault="003A1E12" w:rsidP="002F697C"/>
    <w:p w14:paraId="777778D5" w14:textId="77777777" w:rsidR="003A1E12" w:rsidRDefault="003A1E12" w:rsidP="002F697C"/>
    <w:p w14:paraId="3D637B57" w14:textId="77777777" w:rsidR="002F697C" w:rsidRDefault="00F17989" w:rsidP="008455A0">
      <w:pPr>
        <w:pStyle w:val="Heading2"/>
        <w:tabs>
          <w:tab w:val="left" w:pos="6153"/>
        </w:tabs>
      </w:pPr>
      <w:bookmarkStart w:id="12" w:name="_Toc454811781"/>
      <w:r>
        <w:t>(d</w:t>
      </w:r>
      <w:r w:rsidR="002F697C">
        <w:t xml:space="preserve">) </w:t>
      </w:r>
      <w:r w:rsidR="003A1E12">
        <w:t>Related and Secondary Purposes</w:t>
      </w:r>
      <w:bookmarkEnd w:id="12"/>
      <w:r w:rsidR="003A1E12">
        <w:t xml:space="preserve"> </w:t>
      </w:r>
      <w:r w:rsidR="008455A0">
        <w:tab/>
      </w:r>
    </w:p>
    <w:tbl>
      <w:tblPr>
        <w:tblStyle w:val="TableGrid"/>
        <w:tblW w:w="0" w:type="auto"/>
        <w:tblLook w:val="04A0" w:firstRow="1" w:lastRow="0" w:firstColumn="1" w:lastColumn="0" w:noHBand="0" w:noVBand="1"/>
      </w:tblPr>
      <w:tblGrid>
        <w:gridCol w:w="9350"/>
      </w:tblGrid>
      <w:tr w:rsidR="003A1E12" w14:paraId="34083DC3" w14:textId="77777777" w:rsidTr="003A1E12">
        <w:tc>
          <w:tcPr>
            <w:tcW w:w="9576" w:type="dxa"/>
          </w:tcPr>
          <w:p w14:paraId="2C7F8B1A" w14:textId="77777777" w:rsidR="003A1E12" w:rsidRPr="003A1E12" w:rsidRDefault="008455A0" w:rsidP="008455A0">
            <w:pPr>
              <w:rPr>
                <w:i/>
              </w:rPr>
            </w:pPr>
            <w:r>
              <w:rPr>
                <w:i/>
              </w:rPr>
              <w:t>Identify the related or secondary purposes for which you collect</w:t>
            </w:r>
            <w:r w:rsidR="00EB66B2">
              <w:rPr>
                <w:i/>
              </w:rPr>
              <w:t>, use and disclose</w:t>
            </w:r>
            <w:r>
              <w:rPr>
                <w:i/>
              </w:rPr>
              <w:t xml:space="preserve"> personal health information. </w:t>
            </w:r>
            <w:r w:rsidR="00F55180">
              <w:rPr>
                <w:i/>
              </w:rPr>
              <w:t xml:space="preserve">Some </w:t>
            </w:r>
            <w:r>
              <w:rPr>
                <w:i/>
              </w:rPr>
              <w:t>examples</w:t>
            </w:r>
            <w:r w:rsidR="00F55180">
              <w:rPr>
                <w:i/>
              </w:rPr>
              <w:t xml:space="preserve"> are set out below. </w:t>
            </w:r>
          </w:p>
        </w:tc>
      </w:tr>
    </w:tbl>
    <w:p w14:paraId="3B362919" w14:textId="77777777" w:rsidR="008A7F05" w:rsidRPr="008A7F05" w:rsidRDefault="008A7F05" w:rsidP="00B116DA"/>
    <w:p w14:paraId="27D373F5" w14:textId="77777777" w:rsidR="008A7F05" w:rsidRDefault="008A7F05" w:rsidP="00B116DA">
      <w:r w:rsidRPr="008455A0">
        <w:rPr>
          <w:b/>
        </w:rPr>
        <w:t>Related Purpose #1:</w:t>
      </w:r>
      <w:r>
        <w:t xml:space="preserve"> </w:t>
      </w:r>
      <w:r w:rsidR="00406FE8">
        <w:t>To o</w:t>
      </w:r>
      <w:r w:rsidR="008455A0">
        <w:t>btain payment for services or goods provided</w:t>
      </w:r>
    </w:p>
    <w:p w14:paraId="7614499B" w14:textId="77777777" w:rsidR="008A7F05" w:rsidRDefault="008A7F05" w:rsidP="00B116DA">
      <w:r>
        <w:t xml:space="preserve">Brief Description: To obtain payment for </w:t>
      </w:r>
      <w:r w:rsidR="008455A0">
        <w:t xml:space="preserve">health related </w:t>
      </w:r>
      <w:r>
        <w:t>services</w:t>
      </w:r>
      <w:r w:rsidR="008455A0">
        <w:t xml:space="preserve"> or goods</w:t>
      </w:r>
      <w:r>
        <w:t xml:space="preserve"> provided</w:t>
      </w:r>
      <w:r w:rsidR="008455A0">
        <w:t xml:space="preserve">. Payment may be obtained </w:t>
      </w:r>
      <w:r>
        <w:t xml:space="preserve">from the individual, OHIP, WSIB, private insurers or others. </w:t>
      </w:r>
    </w:p>
    <w:p w14:paraId="0358A3B7" w14:textId="77777777" w:rsidR="00AA20D2" w:rsidRDefault="008455A0" w:rsidP="008455A0">
      <w:r>
        <w:t>Notes: Consent is not required (s. 37(1)(i))</w:t>
      </w:r>
    </w:p>
    <w:p w14:paraId="7A8D663D" w14:textId="77777777" w:rsidR="008455A0" w:rsidRDefault="008455A0" w:rsidP="008455A0">
      <w:r>
        <w:rPr>
          <w:b/>
        </w:rPr>
        <w:t xml:space="preserve">Related Purpose #2: </w:t>
      </w:r>
      <w:r w:rsidR="00406FE8">
        <w:t>To co</w:t>
      </w:r>
      <w:r>
        <w:t>nduct quality improvement and risk management activities</w:t>
      </w:r>
    </w:p>
    <w:p w14:paraId="1D982C4C" w14:textId="77777777" w:rsidR="008455A0" w:rsidRDefault="008455A0" w:rsidP="008455A0">
      <w:r>
        <w:t xml:space="preserve">Brief Description: To review client files to ensure that we provide high quality services, including assessing the performance of our staff.  External consultants (e.g. auditors, lawyers, practice consultants, voluntary accreditation programs) may conduct audits and quality improvement reviews on our behalf. </w:t>
      </w:r>
    </w:p>
    <w:p w14:paraId="71E81614" w14:textId="77777777" w:rsidR="008455A0" w:rsidRDefault="008455A0" w:rsidP="008455A0">
      <w:r>
        <w:t>Notes: Consent is not required (s. 37(1)(d))</w:t>
      </w:r>
    </w:p>
    <w:p w14:paraId="6FA3FF7D" w14:textId="77777777" w:rsidR="008455A0" w:rsidRDefault="008455A0" w:rsidP="008455A0">
      <w:r>
        <w:rPr>
          <w:b/>
        </w:rPr>
        <w:t>Related Purpose #3:</w:t>
      </w:r>
      <w:r>
        <w:t xml:space="preserve"> </w:t>
      </w:r>
      <w:r w:rsidR="00406FE8">
        <w:t>To p</w:t>
      </w:r>
      <w:r>
        <w:t>romot</w:t>
      </w:r>
      <w:r w:rsidR="00406FE8">
        <w:t>e</w:t>
      </w:r>
      <w:r>
        <w:t xml:space="preserve"> our clinic, special events and opportunities</w:t>
      </w:r>
    </w:p>
    <w:p w14:paraId="018D52EE" w14:textId="77777777" w:rsidR="008455A0" w:rsidRDefault="008455A0" w:rsidP="008455A0">
      <w:r>
        <w:lastRenderedPageBreak/>
        <w:t xml:space="preserve">Brief Description: </w:t>
      </w:r>
      <w:r w:rsidR="00406FE8">
        <w:t>To promote new services or goods available at our clinic or to advise clients of special events and opportunities (e.g. a seminar or conference) that we have available.</w:t>
      </w:r>
    </w:p>
    <w:p w14:paraId="25B312F5" w14:textId="77777777" w:rsidR="00406FE8" w:rsidRDefault="00406FE8" w:rsidP="008455A0">
      <w:r>
        <w:t>Notes: Express consent from the client must be obtained for all marketing and market research activities (s. 33)</w:t>
      </w:r>
    </w:p>
    <w:p w14:paraId="61EB1812" w14:textId="77777777" w:rsidR="00406FE8" w:rsidRDefault="00406FE8" w:rsidP="008455A0">
      <w:r>
        <w:rPr>
          <w:b/>
        </w:rPr>
        <w:t>Related Purpose #4:</w:t>
      </w:r>
      <w:r>
        <w:t xml:space="preserve"> To comply</w:t>
      </w:r>
      <w:r w:rsidR="002D07C7">
        <w:t xml:space="preserve"> with external regulators</w:t>
      </w:r>
    </w:p>
    <w:p w14:paraId="1307526E" w14:textId="77777777" w:rsidR="00406FE8" w:rsidRDefault="00406FE8" w:rsidP="008455A0">
      <w:r>
        <w:t xml:space="preserve">Brief Description: Our professionals </w:t>
      </w:r>
      <w:r w:rsidR="005625BC">
        <w:t>are</w:t>
      </w:r>
      <w:r>
        <w:t xml:space="preserve"> regulated by </w:t>
      </w:r>
      <w:r w:rsidR="00A9688B">
        <w:t>[name of College]</w:t>
      </w:r>
      <w:r w:rsidR="005625BC">
        <w:t xml:space="preserve"> who may inspect our records and interview our staff as a part of its regulatory activities in the public int</w:t>
      </w:r>
      <w:r w:rsidR="002D07C7">
        <w:t xml:space="preserve">erest. </w:t>
      </w:r>
      <w:r w:rsidR="009F24A1">
        <w:t xml:space="preserve">The [College] has its own strict confidentiality and privacy obligations.  </w:t>
      </w:r>
      <w:r w:rsidR="002D07C7">
        <w:t xml:space="preserve">In addition, as professionals, we will report serious misconduct, incompetence or incapacity of other practitioners, whether they belong to other organizations or our own.  Also, our organization believes that it should report information suggesting illegal behaviour </w:t>
      </w:r>
      <w:r w:rsidR="009F24A1">
        <w:t xml:space="preserve">to </w:t>
      </w:r>
      <w:r w:rsidR="002D07C7">
        <w:t xml:space="preserve">the authorities. </w:t>
      </w:r>
      <w:r w:rsidR="00551F05">
        <w:t xml:space="preserve">In addition, we may be required </w:t>
      </w:r>
      <w:r w:rsidR="00C554B0">
        <w:t xml:space="preserve">by law </w:t>
      </w:r>
      <w:r w:rsidR="00551F05">
        <w:t>to disclose personal health information to various government agencies (e.g. Ministry of Health, children’s aid societies, Canada Customs and Revenue Agency, Information and Privacy Commissioner, etc.).</w:t>
      </w:r>
    </w:p>
    <w:p w14:paraId="1AF206B4" w14:textId="77777777" w:rsidR="00551F05" w:rsidRPr="00406FE8" w:rsidRDefault="00551F05" w:rsidP="008455A0">
      <w:r>
        <w:t>Notes: Consent is not required (</w:t>
      </w:r>
      <w:r w:rsidR="00DE41BD">
        <w:t>s</w:t>
      </w:r>
      <w:r>
        <w:t>s. 43</w:t>
      </w:r>
      <w:r w:rsidR="00DE41BD">
        <w:t>, 46, 60</w:t>
      </w:r>
      <w:r>
        <w:t>)</w:t>
      </w:r>
    </w:p>
    <w:p w14:paraId="51F7D878" w14:textId="77777777" w:rsidR="00406FE8" w:rsidRDefault="00DE41BD" w:rsidP="008455A0">
      <w:r>
        <w:rPr>
          <w:b/>
        </w:rPr>
        <w:t>Related Purpose #5:</w:t>
      </w:r>
      <w:r>
        <w:t xml:space="preserve"> To educate our staff and students</w:t>
      </w:r>
    </w:p>
    <w:p w14:paraId="2C384C76" w14:textId="77777777" w:rsidR="00DE41BD" w:rsidRDefault="00DE41BD" w:rsidP="008455A0">
      <w:r>
        <w:t xml:space="preserve">Brief Description: </w:t>
      </w:r>
      <w:r w:rsidR="00CB0E6F">
        <w:t xml:space="preserve">We value the education and development of future and current professionals.  We will review client records in order to educate our staff and students about the provision of health care. </w:t>
      </w:r>
    </w:p>
    <w:p w14:paraId="06DA0EAE" w14:textId="77777777" w:rsidR="00DE41BD" w:rsidRDefault="00DE41BD" w:rsidP="008455A0">
      <w:r>
        <w:t>Notes: Consent is not required (s. 37(1)(e))</w:t>
      </w:r>
    </w:p>
    <w:p w14:paraId="7671EB72" w14:textId="77777777" w:rsidR="00DE41BD" w:rsidRDefault="00DE41BD" w:rsidP="008455A0">
      <w:r>
        <w:rPr>
          <w:b/>
        </w:rPr>
        <w:t xml:space="preserve">Related Purpose #6: </w:t>
      </w:r>
      <w:r>
        <w:t>To fundraise for our organization</w:t>
      </w:r>
    </w:p>
    <w:p w14:paraId="0B626423" w14:textId="77777777" w:rsidR="00DE41BD" w:rsidRDefault="00DE41BD" w:rsidP="008455A0">
      <w:r>
        <w:t xml:space="preserve">Brief Description: </w:t>
      </w:r>
      <w:r w:rsidR="00B86BC5">
        <w:t xml:space="preserve">To contact clients in order to raise funds for the operations of our organization.  </w:t>
      </w:r>
    </w:p>
    <w:p w14:paraId="58A83F99" w14:textId="77777777" w:rsidR="00DE41BD" w:rsidRDefault="00DE41BD" w:rsidP="008455A0">
      <w:r>
        <w:t>Notes: Express or implied consent is required</w:t>
      </w:r>
      <w:r w:rsidR="00B86BC5">
        <w:t>.  If we rely on implied consent, we will post this on our written public statement (see Form 1 below), we will only use the client’s name and address, we will provide clients with an easy opt-out option, and we will not reveal anything about our client’s health in the request</w:t>
      </w:r>
      <w:r>
        <w:t xml:space="preserve"> (s. 32 of </w:t>
      </w:r>
      <w:r w:rsidR="00A974D9">
        <w:t>PHIPA</w:t>
      </w:r>
      <w:r w:rsidR="0066609B">
        <w:t xml:space="preserve"> and s. 10 of the r</w:t>
      </w:r>
      <w:r>
        <w:t>egulation</w:t>
      </w:r>
      <w:r w:rsidR="0066609B">
        <w:t>s</w:t>
      </w:r>
      <w:r>
        <w:t>)</w:t>
      </w:r>
      <w:r w:rsidR="00B86BC5">
        <w:t>.</w:t>
      </w:r>
    </w:p>
    <w:p w14:paraId="499CA2DA" w14:textId="77777777" w:rsidR="00962DB7" w:rsidRPr="00F25898" w:rsidRDefault="00962DB7" w:rsidP="008455A0">
      <w:r>
        <w:rPr>
          <w:b/>
        </w:rPr>
        <w:t>Related Purpose #</w:t>
      </w:r>
      <w:r w:rsidR="00FF4096">
        <w:rPr>
          <w:b/>
        </w:rPr>
        <w:t xml:space="preserve">7: </w:t>
      </w:r>
      <w:r w:rsidR="00F25898">
        <w:t>To facilitate the sale of our organization</w:t>
      </w:r>
    </w:p>
    <w:p w14:paraId="19206FF9" w14:textId="77777777" w:rsidR="00FF4096" w:rsidRDefault="00FF4096" w:rsidP="008455A0">
      <w:r>
        <w:t xml:space="preserve">Brief Description: </w:t>
      </w:r>
      <w:r w:rsidR="00F25898">
        <w:t xml:space="preserve">If the organization or its assets were to be sold, the </w:t>
      </w:r>
      <w:r w:rsidR="00F257E6">
        <w:t xml:space="preserve">potential </w:t>
      </w:r>
      <w:r w:rsidR="00F25898">
        <w:t>purchaser would want to conduct a “due diligence” review of the organization’s records to ensure that it is a viable business</w:t>
      </w:r>
      <w:r w:rsidR="00F257E6">
        <w:t xml:space="preserve"> that has been honestly portrayed.  The potential purchaser must first enter </w:t>
      </w:r>
      <w:r w:rsidR="00F257E6">
        <w:lastRenderedPageBreak/>
        <w:t xml:space="preserve">into an agreement with the organization to keep the information confidential and secure and not to retain any of the information longer than necessary to conduct the due diligence. Once a sale has been finalized, the organization may transfer records to the purchaser, but it will make reasonable efforts to provide notice to the individual before doing so. </w:t>
      </w:r>
    </w:p>
    <w:p w14:paraId="0C7450B8" w14:textId="77777777" w:rsidR="00FF4096" w:rsidRDefault="00FF4096" w:rsidP="008455A0">
      <w:r>
        <w:t xml:space="preserve">Notes: </w:t>
      </w:r>
      <w:r w:rsidR="00F25898">
        <w:t>Consent is not required</w:t>
      </w:r>
      <w:r w:rsidR="00F257E6">
        <w:t xml:space="preserve"> to disclose to a potential purchaser, but notice must be given to individuals in order to transfer records to a purchaser</w:t>
      </w:r>
      <w:r w:rsidR="00F25898">
        <w:t xml:space="preserve"> (s. 42)</w:t>
      </w:r>
      <w:r w:rsidR="00F257E6">
        <w:t>.</w:t>
      </w:r>
    </w:p>
    <w:p w14:paraId="65494B3A" w14:textId="77777777" w:rsidR="00FF4096" w:rsidRPr="00FF4096" w:rsidRDefault="00FF4096" w:rsidP="00FF4096">
      <w:r>
        <w:rPr>
          <w:b/>
        </w:rPr>
        <w:t xml:space="preserve">Related Purpose #8: </w:t>
      </w:r>
      <w:r w:rsidRPr="00FF4096">
        <w:t>_____________________________________________________________</w:t>
      </w:r>
    </w:p>
    <w:p w14:paraId="47D7EC9A" w14:textId="77777777" w:rsidR="00FF4096" w:rsidRDefault="00FF4096" w:rsidP="00FF4096">
      <w:r>
        <w:t>Brief Description: _______________________________________________________________</w:t>
      </w:r>
      <w:r>
        <w:br/>
        <w:t>____________________________________________________________________________________________________________________________________________________________</w:t>
      </w:r>
    </w:p>
    <w:p w14:paraId="419CA570" w14:textId="77777777" w:rsidR="00FF4096" w:rsidRPr="00FF4096" w:rsidRDefault="00FF4096" w:rsidP="00FF4096">
      <w:r>
        <w:t>Notes: ________________________________________________________________________</w:t>
      </w:r>
    </w:p>
    <w:p w14:paraId="31839D32" w14:textId="77777777" w:rsidR="00FF4096" w:rsidRPr="00FF4096" w:rsidRDefault="00FF4096" w:rsidP="00FF4096">
      <w:r>
        <w:rPr>
          <w:b/>
        </w:rPr>
        <w:t xml:space="preserve">Related Purpose #9: </w:t>
      </w:r>
      <w:r w:rsidRPr="00FF4096">
        <w:t>_____________________________________________________________</w:t>
      </w:r>
    </w:p>
    <w:p w14:paraId="21324309" w14:textId="77777777" w:rsidR="00FF4096" w:rsidRDefault="00FF4096" w:rsidP="00FF4096">
      <w:r>
        <w:t>Brief Description: _______________________________________________________________</w:t>
      </w:r>
      <w:r>
        <w:br/>
        <w:t>____________________________________________________________________________________________________________________________________________________________</w:t>
      </w:r>
    </w:p>
    <w:p w14:paraId="204268C5" w14:textId="77777777" w:rsidR="00FF4096" w:rsidRPr="00FF4096" w:rsidRDefault="00FF4096" w:rsidP="00FF4096">
      <w:r>
        <w:t>Notes: ________________________________________________________________________</w:t>
      </w:r>
    </w:p>
    <w:p w14:paraId="2EB9FF65" w14:textId="77777777" w:rsidR="002545CD" w:rsidRDefault="00F17989" w:rsidP="00F17989">
      <w:pPr>
        <w:pStyle w:val="Heading2"/>
      </w:pPr>
      <w:bookmarkStart w:id="13" w:name="_Toc454811782"/>
      <w:r>
        <w:t>(d) Review of Personal Health Information Collected</w:t>
      </w:r>
      <w:bookmarkEnd w:id="13"/>
    </w:p>
    <w:tbl>
      <w:tblPr>
        <w:tblStyle w:val="TableGrid"/>
        <w:tblW w:w="0" w:type="auto"/>
        <w:tblLook w:val="04A0" w:firstRow="1" w:lastRow="0" w:firstColumn="1" w:lastColumn="0" w:noHBand="0" w:noVBand="1"/>
      </w:tblPr>
      <w:tblGrid>
        <w:gridCol w:w="9350"/>
      </w:tblGrid>
      <w:tr w:rsidR="00F17989" w14:paraId="5CCC63EA" w14:textId="77777777" w:rsidTr="00F17989">
        <w:tc>
          <w:tcPr>
            <w:tcW w:w="9576" w:type="dxa"/>
          </w:tcPr>
          <w:p w14:paraId="30879784" w14:textId="77777777" w:rsidR="00F17989" w:rsidRPr="00F17989" w:rsidRDefault="00F17989" w:rsidP="00F17989">
            <w:pPr>
              <w:rPr>
                <w:i/>
              </w:rPr>
            </w:pPr>
            <w:r>
              <w:rPr>
                <w:i/>
              </w:rPr>
              <w:t xml:space="preserve">Review the personal health information </w:t>
            </w:r>
            <w:r w:rsidR="004E0A2A">
              <w:rPr>
                <w:i/>
              </w:rPr>
              <w:t xml:space="preserve">that </w:t>
            </w:r>
            <w:r>
              <w:rPr>
                <w:i/>
              </w:rPr>
              <w:t xml:space="preserve">your organization collects that you identified in Step 2 above.  If any of that information is not required for a purpose you have listed in Step 3, then you should stop collecting that information as it is unnecessary (s. 30). </w:t>
            </w:r>
          </w:p>
        </w:tc>
      </w:tr>
    </w:tbl>
    <w:p w14:paraId="2821F45B" w14:textId="77777777" w:rsidR="00F17989" w:rsidRPr="00F17989" w:rsidRDefault="00F17989" w:rsidP="00F17989"/>
    <w:p w14:paraId="39A81390" w14:textId="77777777" w:rsidR="00795EDA" w:rsidRDefault="00795EDA" w:rsidP="00795EDA">
      <w:pPr>
        <w:pStyle w:val="Heading1"/>
      </w:pPr>
      <w:bookmarkStart w:id="14" w:name="_Toc454811783"/>
      <w:r>
        <w:lastRenderedPageBreak/>
        <w:t xml:space="preserve">Step 4 – </w:t>
      </w:r>
      <w:r w:rsidR="00A9688B">
        <w:t xml:space="preserve">Develop Practices Regarding </w:t>
      </w:r>
      <w:r>
        <w:t>Safeguards, Retention and Destruction</w:t>
      </w:r>
      <w:bookmarkEnd w:id="14"/>
    </w:p>
    <w:p w14:paraId="00034040" w14:textId="77777777" w:rsidR="00795EDA" w:rsidRDefault="00795EDA" w:rsidP="00795EDA">
      <w:pPr>
        <w:pStyle w:val="Heading2"/>
      </w:pPr>
      <w:bookmarkStart w:id="15" w:name="_Toc454811784"/>
      <w:r>
        <w:t xml:space="preserve">(a) </w:t>
      </w:r>
      <w:r w:rsidR="00CA27E2">
        <w:t xml:space="preserve">Principles of </w:t>
      </w:r>
      <w:r>
        <w:t>Safeguarding Personal Information</w:t>
      </w:r>
      <w:bookmarkEnd w:id="15"/>
    </w:p>
    <w:p w14:paraId="17C48EED" w14:textId="77777777" w:rsidR="00AC3B3D" w:rsidRDefault="00795EDA" w:rsidP="00795EDA">
      <w:r>
        <w:t xml:space="preserve">Custodians must take reasonable steps to protect personal health information against theft, loss, unauthorized use, disclosure, copying, modification or disposal (ss. 12(1) and 13(1)). </w:t>
      </w:r>
      <w:r w:rsidR="00AC3B3D">
        <w:t xml:space="preserve"> Custodians mus</w:t>
      </w:r>
      <w:r w:rsidR="009024FA">
        <w:t>t put in place administrative (e.g.,</w:t>
      </w:r>
      <w:r w:rsidR="00AC3B3D">
        <w:t xml:space="preserve"> pol</w:t>
      </w:r>
      <w:r w:rsidR="009024FA">
        <w:t>icies, training), physical (e.g.,</w:t>
      </w:r>
      <w:r w:rsidR="00AC3B3D">
        <w:t xml:space="preserve"> locked filing cabinets), and technical (</w:t>
      </w:r>
      <w:r w:rsidR="009024FA">
        <w:t>e.g.,</w:t>
      </w:r>
      <w:r w:rsidR="00AC3B3D">
        <w:t xml:space="preserve"> passwords, encryption) safeguards and practices to ensure the security of personal health information.  The nature of the </w:t>
      </w:r>
      <w:r w:rsidR="00A9688B">
        <w:t xml:space="preserve">required </w:t>
      </w:r>
      <w:r w:rsidR="00AC3B3D">
        <w:t xml:space="preserve">safeguards will vary depending </w:t>
      </w:r>
      <w:r w:rsidR="004E0A2A">
        <w:t xml:space="preserve">on the </w:t>
      </w:r>
      <w:r w:rsidR="00A9688B">
        <w:t xml:space="preserve">circumstances, including the </w:t>
      </w:r>
      <w:r w:rsidR="00AC3B3D">
        <w:t>sensitivity of the information</w:t>
      </w:r>
      <w:r w:rsidR="007C2377">
        <w:t xml:space="preserve"> and</w:t>
      </w:r>
      <w:r w:rsidR="00A9688B">
        <w:t xml:space="preserve"> the type of organization </w:t>
      </w:r>
      <w:r w:rsidR="00AC3B3D">
        <w:t xml:space="preserve">(for example, a hospital </w:t>
      </w:r>
      <w:r w:rsidR="00A9688B">
        <w:t>will</w:t>
      </w:r>
      <w:r w:rsidR="00AC3B3D">
        <w:t xml:space="preserve"> </w:t>
      </w:r>
      <w:r w:rsidR="00A9688B">
        <w:t>require</w:t>
      </w:r>
      <w:r w:rsidR="00AC3B3D">
        <w:t xml:space="preserve"> different safeguards than a small office).  Examples of safeguards that can be implemented are set out in Section 4(b) of the Guide, below. </w:t>
      </w:r>
    </w:p>
    <w:p w14:paraId="6AABCC00" w14:textId="77777777" w:rsidR="00EA74A5" w:rsidRDefault="00EA74A5" w:rsidP="00795EDA">
      <w:r>
        <w:t xml:space="preserve">The Information and Privacy Commissioner </w:t>
      </w:r>
      <w:r w:rsidR="00F772ED">
        <w:t xml:space="preserve">of Ontario </w:t>
      </w:r>
      <w:r>
        <w:t xml:space="preserve">has issued orders against custodians where employees have accessed personal health information in the context of family or personal disputes (e.g., employee accessing records of </w:t>
      </w:r>
      <w:r w:rsidR="00A52BAE">
        <w:t xml:space="preserve">her </w:t>
      </w:r>
      <w:r>
        <w:t xml:space="preserve">boyfriend’s estranged spouse).  In addition to the other safeguards discussed below, custodians must ensure that </w:t>
      </w:r>
      <w:r w:rsidR="002C6FEB">
        <w:t xml:space="preserve">their </w:t>
      </w:r>
      <w:r>
        <w:t xml:space="preserve">staff </w:t>
      </w:r>
      <w:r w:rsidR="002C6FEB">
        <w:t>is</w:t>
      </w:r>
      <w:r>
        <w:t xml:space="preserve"> adequately trained on the </w:t>
      </w:r>
      <w:r w:rsidR="00A52BAE">
        <w:t xml:space="preserve">appropriate collection, use and disclosure of personal health information.  Staff </w:t>
      </w:r>
      <w:r w:rsidR="002C6FEB">
        <w:t xml:space="preserve">members </w:t>
      </w:r>
      <w:r w:rsidR="00A52BAE">
        <w:t xml:space="preserve">must also be </w:t>
      </w:r>
      <w:r w:rsidR="002C6FEB">
        <w:t xml:space="preserve">aware </w:t>
      </w:r>
      <w:r w:rsidR="00A52BAE">
        <w:t>that breaches can result in discipline, reports to their governing regulatory College</w:t>
      </w:r>
      <w:r w:rsidR="00D973A1">
        <w:t>, complaints to the Information and Privacy Commissioner or prosecutions for deliberate offences</w:t>
      </w:r>
      <w:r w:rsidR="00A52BAE">
        <w:t>.</w:t>
      </w:r>
      <w:r w:rsidR="00D973A1">
        <w:rPr>
          <w:rStyle w:val="FootnoteReference"/>
        </w:rPr>
        <w:footnoteReference w:id="6"/>
      </w:r>
      <w:r w:rsidR="00A52BAE">
        <w:t xml:space="preserve"> </w:t>
      </w:r>
    </w:p>
    <w:p w14:paraId="5BBE029D" w14:textId="77777777" w:rsidR="00161380" w:rsidRDefault="00161380" w:rsidP="00795EDA">
      <w:r>
        <w:t xml:space="preserve">If a custodian uses electronic records for personal health information, they </w:t>
      </w:r>
      <w:r w:rsidR="00FB24F7">
        <w:t>will be required</w:t>
      </w:r>
      <w:r w:rsidR="00FB24F7">
        <w:rPr>
          <w:rStyle w:val="FootnoteReference"/>
        </w:rPr>
        <w:footnoteReference w:id="7"/>
      </w:r>
      <w:r w:rsidR="00FB24F7">
        <w:t xml:space="preserve"> to</w:t>
      </w:r>
      <w:r>
        <w:t xml:space="preserve"> maintain an audit log that records who accessed what information about which </w:t>
      </w:r>
      <w:r w:rsidR="00AB61FF">
        <w:t>cl</w:t>
      </w:r>
      <w:r>
        <w:t xml:space="preserve">ients when. The custodian must </w:t>
      </w:r>
      <w:r w:rsidR="00E12AFC">
        <w:t xml:space="preserve">regularly </w:t>
      </w:r>
      <w:r>
        <w:t>monitor the audit log for suspicious activity. The Information and Privacy Commissioner can require the custodian to produce the audit log</w:t>
      </w:r>
      <w:r w:rsidR="000F1F8D">
        <w:t xml:space="preserve"> upon request. This requirement means that many custodians </w:t>
      </w:r>
      <w:r w:rsidR="00E12AFC">
        <w:t>may</w:t>
      </w:r>
      <w:r w:rsidR="000F1F8D">
        <w:t xml:space="preserve"> have to retain a consultant or pur</w:t>
      </w:r>
      <w:r w:rsidR="00E12AFC">
        <w:t xml:space="preserve">chase a specialized commercial </w:t>
      </w:r>
      <w:r w:rsidR="000F1F8D">
        <w:t>product to maintain electronic records.</w:t>
      </w:r>
      <w:r w:rsidR="000F1F8D">
        <w:rPr>
          <w:rStyle w:val="FootnoteReference"/>
        </w:rPr>
        <w:footnoteReference w:id="8"/>
      </w:r>
    </w:p>
    <w:p w14:paraId="237724B1" w14:textId="77777777" w:rsidR="00AC3B3D" w:rsidRDefault="00AC3B3D" w:rsidP="00795EDA">
      <w:r>
        <w:t>Given the prevalent use of mobile devices (</w:t>
      </w:r>
      <w:r w:rsidR="009024FA">
        <w:t>e.g.,</w:t>
      </w:r>
      <w:r>
        <w:t xml:space="preserve"> </w:t>
      </w:r>
      <w:r w:rsidR="00B1765A">
        <w:t xml:space="preserve">smart phones, </w:t>
      </w:r>
      <w:r>
        <w:t xml:space="preserve">laptops, USB keys) in workplaces today, custodians must have practices in place to protect any personal health information that </w:t>
      </w:r>
      <w:r>
        <w:lastRenderedPageBreak/>
        <w:t>is stored on them.  Practitioners should always consider whether it is necessary to store personal health information on a mobile device or whether an alternative, such as de-identifying the information or accessing the information through a secure remote connection, would suffice.  If it is necessary to store personal health information on a mobile device, the information must be secured using “strong encryption</w:t>
      </w:r>
      <w:r w:rsidR="0046223E">
        <w:t>.</w:t>
      </w:r>
      <w:r>
        <w:t>”</w:t>
      </w:r>
      <w:r>
        <w:rPr>
          <w:rStyle w:val="FootnoteReference"/>
        </w:rPr>
        <w:footnoteReference w:id="9"/>
      </w:r>
      <w:r>
        <w:t xml:space="preserve">  </w:t>
      </w:r>
      <w:r w:rsidR="00C554B0">
        <w:t xml:space="preserve">Password protection is not enough.  </w:t>
      </w:r>
      <w:r>
        <w:t>The Information and Privacy Commissioner of On</w:t>
      </w:r>
      <w:r w:rsidR="0046223E">
        <w:t xml:space="preserve">tario has </w:t>
      </w:r>
      <w:r w:rsidR="002C1EA1">
        <w:t>stated</w:t>
      </w:r>
      <w:r w:rsidR="0046223E">
        <w:t xml:space="preserve"> that if personal health information on a mobile device is appropriately encrypted, the loss or theft of that device </w:t>
      </w:r>
      <w:r w:rsidR="002C1EA1">
        <w:t>would</w:t>
      </w:r>
      <w:r w:rsidR="0046223E">
        <w:t xml:space="preserve"> not constitute a </w:t>
      </w:r>
      <w:r w:rsidR="002C1EA1">
        <w:t xml:space="preserve">privacy </w:t>
      </w:r>
      <w:r w:rsidR="0046223E">
        <w:t xml:space="preserve">breach. </w:t>
      </w:r>
    </w:p>
    <w:p w14:paraId="2CC7641B" w14:textId="77777777" w:rsidR="00A52BAE" w:rsidRDefault="00A52BAE" w:rsidP="00795EDA">
      <w:r>
        <w:t xml:space="preserve">Custodians should also implement policies regarding the appropriate use of social media.  </w:t>
      </w:r>
      <w:r w:rsidR="00BD4068">
        <w:t xml:space="preserve">At a minimum, </w:t>
      </w:r>
      <w:r w:rsidR="00F772ED">
        <w:t>health professionals</w:t>
      </w:r>
      <w:r w:rsidR="00BD4068">
        <w:t xml:space="preserve"> should never disclose personal health information on social media sites, unless</w:t>
      </w:r>
      <w:r>
        <w:t xml:space="preserve"> </w:t>
      </w:r>
      <w:r w:rsidR="00BD4068">
        <w:t xml:space="preserve">they have the individual’s </w:t>
      </w:r>
      <w:r w:rsidR="00E12AFC">
        <w:t xml:space="preserve">unpressured </w:t>
      </w:r>
      <w:r w:rsidR="00BD4068">
        <w:t>consent to do so.  If information is de-identified prior</w:t>
      </w:r>
      <w:r>
        <w:t xml:space="preserve"> </w:t>
      </w:r>
      <w:r w:rsidR="00BD4068">
        <w:t xml:space="preserve">to being posted, the </w:t>
      </w:r>
      <w:r w:rsidR="00F772ED">
        <w:t>health professional</w:t>
      </w:r>
      <w:r w:rsidR="00BD4068">
        <w:t xml:space="preserve"> must ensure that the individual’s identify cannot be reasonably determined (e.g., in a small community or through Internet research).</w:t>
      </w:r>
      <w:r w:rsidR="00FB24F7">
        <w:rPr>
          <w:rStyle w:val="FootnoteReference"/>
        </w:rPr>
        <w:footnoteReference w:id="10"/>
      </w:r>
      <w:r w:rsidR="00BD4068">
        <w:t xml:space="preserve">  Health professionals must also be prudent not to post pictures of their workplaces that may include images of clients.</w:t>
      </w:r>
    </w:p>
    <w:p w14:paraId="7858366C" w14:textId="72C1220E" w:rsidR="00BE7D3A" w:rsidRDefault="00BE7D3A" w:rsidP="00795EDA">
      <w:r>
        <w:t xml:space="preserve">New rules are coming for </w:t>
      </w:r>
      <w:r w:rsidRPr="00BE7D3A">
        <w:t>consumer electronic service provider</w:t>
      </w:r>
      <w:r>
        <w:t xml:space="preserve">s (e.g., apps and online portals in which </w:t>
      </w:r>
      <w:r w:rsidR="00AB61FF">
        <w:t>cl</w:t>
      </w:r>
      <w:r>
        <w:t xml:space="preserve">ients can access and store personal information about themselves). Such providers will be covered by </w:t>
      </w:r>
      <w:r w:rsidRPr="00E12AFC">
        <w:t>PHIPA</w:t>
      </w:r>
      <w:r>
        <w:t xml:space="preserve">. The rules will be set out in future regulations, but custodians who are not offering such services to </w:t>
      </w:r>
      <w:r w:rsidR="00AB61FF">
        <w:t>cl</w:t>
      </w:r>
      <w:r>
        <w:t xml:space="preserve">ients must be careful </w:t>
      </w:r>
      <w:r w:rsidR="00E12AFC">
        <w:t>to ensure</w:t>
      </w:r>
      <w:r>
        <w:t xml:space="preserve"> that they have consent when providing the information to app/portal, follow any rules that may </w:t>
      </w:r>
      <w:r w:rsidR="00024F4D">
        <w:t xml:space="preserve">be </w:t>
      </w:r>
      <w:r>
        <w:t>developed for providing that information, and be alert to any directions from the Information and Privacy Commissioner prohibiting the provision of information to named, non-compliant apps/portals. Custodians will have the discretion not to provide personal health information directly to an app/portal; they will be able to provide the information to the individual in another way.</w:t>
      </w:r>
    </w:p>
    <w:p w14:paraId="6B2CCC89" w14:textId="77777777" w:rsidR="00795EDA" w:rsidRDefault="00795EDA" w:rsidP="00795EDA">
      <w:r>
        <w:t>Records can be kept at the client’s home or off-site (e.g., in a storage facility not controlled by the custodian) if the individual consents and it is done reasonably and in accordance with professional standards (s. 14).</w:t>
      </w:r>
    </w:p>
    <w:p w14:paraId="30AF94FD" w14:textId="77777777" w:rsidR="00795EDA" w:rsidRDefault="00795EDA" w:rsidP="00795EDA">
      <w:r>
        <w:t xml:space="preserve">Another example of where PHIPA applies to non-custodians is </w:t>
      </w:r>
      <w:r w:rsidR="00CE5FF4">
        <w:t>in relation to</w:t>
      </w:r>
      <w:r>
        <w:t xml:space="preserve"> Information Technology (IT) </w:t>
      </w:r>
      <w:r w:rsidR="00D20BCE">
        <w:t>providers</w:t>
      </w:r>
      <w:r>
        <w:t xml:space="preserve"> to custodians. IT </w:t>
      </w:r>
      <w:r w:rsidR="00D20BCE">
        <w:t>providers</w:t>
      </w:r>
      <w:r>
        <w:t xml:space="preserve"> must only use personal health information </w:t>
      </w:r>
      <w:r>
        <w:lastRenderedPageBreak/>
        <w:t xml:space="preserve">for the purpose of providing </w:t>
      </w:r>
      <w:r w:rsidR="00CE5FF4">
        <w:t>their</w:t>
      </w:r>
      <w:r>
        <w:t xml:space="preserve"> services to the custodians</w:t>
      </w:r>
      <w:r w:rsidR="00D20BCE">
        <w:t>; IT providers cannot disclose any personal health information to which they have access</w:t>
      </w:r>
      <w:r>
        <w:t>. They must also provide the following:</w:t>
      </w:r>
    </w:p>
    <w:p w14:paraId="5AF37311" w14:textId="77777777" w:rsidR="00795EDA" w:rsidRDefault="005451D0" w:rsidP="00795EDA">
      <w:pPr>
        <w:pStyle w:val="ListParagraph"/>
        <w:numPr>
          <w:ilvl w:val="0"/>
          <w:numId w:val="6"/>
        </w:numPr>
      </w:pPr>
      <w:r>
        <w:t>notification</w:t>
      </w:r>
      <w:r w:rsidR="00795EDA">
        <w:t xml:space="preserve"> of any privacy breach to th</w:t>
      </w:r>
      <w:r w:rsidR="00B1765A">
        <w:t>e custodian as soon as possible;</w:t>
      </w:r>
    </w:p>
    <w:p w14:paraId="4892461E" w14:textId="77777777" w:rsidR="00795EDA" w:rsidRDefault="00795EDA" w:rsidP="00795EDA">
      <w:pPr>
        <w:pStyle w:val="ListParagraph"/>
        <w:numPr>
          <w:ilvl w:val="0"/>
          <w:numId w:val="6"/>
        </w:numPr>
      </w:pPr>
      <w:r>
        <w:t>a plain languag</w:t>
      </w:r>
      <w:r w:rsidR="00B1765A">
        <w:t>e description of their services;</w:t>
      </w:r>
    </w:p>
    <w:p w14:paraId="2E98B8CD" w14:textId="77777777" w:rsidR="00795EDA" w:rsidRDefault="00795EDA" w:rsidP="00795EDA">
      <w:pPr>
        <w:pStyle w:val="ListParagraph"/>
        <w:numPr>
          <w:ilvl w:val="0"/>
          <w:numId w:val="6"/>
        </w:numPr>
      </w:pPr>
      <w:r>
        <w:t>an audit trail feature t</w:t>
      </w:r>
      <w:r w:rsidR="00B1765A">
        <w:t>o track the use of the database;</w:t>
      </w:r>
    </w:p>
    <w:p w14:paraId="33F66A63" w14:textId="77777777" w:rsidR="00795EDA" w:rsidRDefault="00795EDA" w:rsidP="00795EDA">
      <w:pPr>
        <w:pStyle w:val="ListParagraph"/>
        <w:numPr>
          <w:ilvl w:val="0"/>
          <w:numId w:val="6"/>
        </w:numPr>
      </w:pPr>
      <w:r>
        <w:t>a written risk assessment of the system</w:t>
      </w:r>
      <w:r w:rsidR="00B1765A">
        <w:t>;</w:t>
      </w:r>
      <w:r>
        <w:t xml:space="preserve"> and</w:t>
      </w:r>
    </w:p>
    <w:p w14:paraId="0F5C309C" w14:textId="77777777" w:rsidR="00795EDA" w:rsidRDefault="00795EDA" w:rsidP="00795EDA">
      <w:pPr>
        <w:pStyle w:val="ListParagraph"/>
        <w:numPr>
          <w:ilvl w:val="0"/>
          <w:numId w:val="6"/>
        </w:numPr>
      </w:pPr>
      <w:r>
        <w:t>their own written privacy policies.</w:t>
      </w:r>
    </w:p>
    <w:p w14:paraId="40481F5E" w14:textId="1B66CCF8" w:rsidR="00201A4C" w:rsidRDefault="00D20BCE" w:rsidP="00D20BCE">
      <w:r>
        <w:t>IT providers and custodians must enter into written agreements that describe the services being provided, describe the safeguards in place and require the IT provide</w:t>
      </w:r>
      <w:r w:rsidR="0066609B">
        <w:t>r to comply with PHIPA and the r</w:t>
      </w:r>
      <w:r>
        <w:t>egulation</w:t>
      </w:r>
      <w:r w:rsidR="0066609B">
        <w:t>s</w:t>
      </w:r>
      <w:r>
        <w:t xml:space="preserve"> (</w:t>
      </w:r>
      <w:r w:rsidR="0066609B">
        <w:t>s. 10 of PHIPA and s. 6 of the r</w:t>
      </w:r>
      <w:r>
        <w:t>egulation</w:t>
      </w:r>
      <w:r w:rsidR="0066609B">
        <w:t>s</w:t>
      </w:r>
      <w:r>
        <w:t xml:space="preserve">). </w:t>
      </w:r>
    </w:p>
    <w:p w14:paraId="29E82162" w14:textId="77777777" w:rsidR="00CA27E2" w:rsidRDefault="00CA27E2" w:rsidP="00CA27E2">
      <w:pPr>
        <w:pStyle w:val="Heading2"/>
      </w:pPr>
      <w:bookmarkStart w:id="16" w:name="_Toc454811785"/>
      <w:r>
        <w:t>(b) Administrative, Technical and Physical Safeguards</w:t>
      </w:r>
      <w:bookmarkEnd w:id="16"/>
    </w:p>
    <w:tbl>
      <w:tblPr>
        <w:tblStyle w:val="TableGrid"/>
        <w:tblW w:w="0" w:type="auto"/>
        <w:tblLook w:val="04A0" w:firstRow="1" w:lastRow="0" w:firstColumn="1" w:lastColumn="0" w:noHBand="0" w:noVBand="1"/>
      </w:tblPr>
      <w:tblGrid>
        <w:gridCol w:w="9350"/>
      </w:tblGrid>
      <w:tr w:rsidR="00201A4C" w14:paraId="6BE92A36" w14:textId="77777777" w:rsidTr="00201A4C">
        <w:tc>
          <w:tcPr>
            <w:tcW w:w="9576" w:type="dxa"/>
          </w:tcPr>
          <w:p w14:paraId="495563F9" w14:textId="77777777" w:rsidR="00201A4C" w:rsidRPr="00201A4C" w:rsidRDefault="00201A4C" w:rsidP="00F772ED">
            <w:pPr>
              <w:rPr>
                <w:i/>
              </w:rPr>
            </w:pPr>
            <w:r>
              <w:rPr>
                <w:i/>
              </w:rPr>
              <w:t xml:space="preserve">Identify the administrative, technical and physical safeguards that your organization has in place to protect the security of personal health information and consider whether any additional safeguards are required. </w:t>
            </w:r>
            <w:r w:rsidR="00180030">
              <w:rPr>
                <w:i/>
              </w:rPr>
              <w:t xml:space="preserve"> </w:t>
            </w:r>
            <w:r w:rsidR="00180030" w:rsidRPr="00180030">
              <w:rPr>
                <w:i/>
              </w:rPr>
              <w:t>It is not necessary to employ every safeguard listed</w:t>
            </w:r>
            <w:r w:rsidR="00F772ED">
              <w:rPr>
                <w:i/>
              </w:rPr>
              <w:t xml:space="preserve"> below</w:t>
            </w:r>
            <w:r w:rsidR="00180030" w:rsidRPr="00180030">
              <w:rPr>
                <w:i/>
              </w:rPr>
              <w:t>; a selection of safeguards is offered but not all are appropriate for every case</w:t>
            </w:r>
            <w:r w:rsidR="00F772ED">
              <w:rPr>
                <w:i/>
              </w:rPr>
              <w:t xml:space="preserve"> (i</w:t>
            </w:r>
            <w:r w:rsidR="00180030" w:rsidRPr="00180030">
              <w:rPr>
                <w:i/>
              </w:rPr>
              <w:t>ndeed, some of the options listed are inconsistent alternatives)</w:t>
            </w:r>
            <w:r w:rsidR="00F772ED">
              <w:rPr>
                <w:i/>
              </w:rPr>
              <w:t>.</w:t>
            </w:r>
            <w:r w:rsidR="00161380">
              <w:rPr>
                <w:i/>
              </w:rPr>
              <w:t xml:space="preserve"> However, some of the safeguards are</w:t>
            </w:r>
            <w:r w:rsidR="00E12AFC">
              <w:rPr>
                <w:i/>
              </w:rPr>
              <w:t xml:space="preserve"> or will become</w:t>
            </w:r>
            <w:r w:rsidR="00161380">
              <w:rPr>
                <w:i/>
              </w:rPr>
              <w:t xml:space="preserve"> mandatory, such as the audit log requirements for electronic health care records.</w:t>
            </w:r>
            <w:r w:rsidR="00180030" w:rsidRPr="00180030">
              <w:rPr>
                <w:i/>
              </w:rPr>
              <w:t xml:space="preserve"> In addition to the generic safeguards described below, special safeguards may be required for extremely sensitive information.</w:t>
            </w:r>
          </w:p>
        </w:tc>
      </w:tr>
    </w:tbl>
    <w:p w14:paraId="6B0542E4" w14:textId="77777777" w:rsidR="00F17989" w:rsidRDefault="00F17989" w:rsidP="00F17989"/>
    <w:p w14:paraId="43E4069C" w14:textId="77777777" w:rsidR="00180030" w:rsidRDefault="00180030" w:rsidP="00F17989">
      <w:r>
        <w:rPr>
          <w:b/>
        </w:rPr>
        <w:t>Physical Safeguards</w:t>
      </w:r>
    </w:p>
    <w:p w14:paraId="1DDE6A29" w14:textId="77777777" w:rsidR="00E311C4" w:rsidRPr="00E311C4" w:rsidRDefault="00E311C4" w:rsidP="00F17989">
      <w:pPr>
        <w:rPr>
          <w:i/>
        </w:rPr>
      </w:pPr>
      <w:r>
        <w:rPr>
          <w:i/>
        </w:rPr>
        <w:t>Office area restricted to staff:</w:t>
      </w:r>
    </w:p>
    <w:p w14:paraId="789B786A" w14:textId="77777777" w:rsidR="00180030" w:rsidRDefault="00E311C4" w:rsidP="00180030">
      <w:pPr>
        <w:pStyle w:val="Checklistbullet"/>
      </w:pPr>
      <w:r>
        <w:t xml:space="preserve">no </w:t>
      </w:r>
      <w:r w:rsidR="00E12AFC">
        <w:t>non-</w:t>
      </w:r>
      <w:r>
        <w:t>staff</w:t>
      </w:r>
      <w:r w:rsidR="00E12AFC">
        <w:t xml:space="preserve"> person</w:t>
      </w:r>
      <w:r>
        <w:t xml:space="preserve"> permitted without continuous supervision</w:t>
      </w:r>
    </w:p>
    <w:p w14:paraId="7F676C52" w14:textId="77777777" w:rsidR="00662759" w:rsidRDefault="00662759" w:rsidP="00180030">
      <w:pPr>
        <w:pStyle w:val="Checklistbullet"/>
      </w:pPr>
      <w:r>
        <w:t xml:space="preserve">for larger organizations, </w:t>
      </w:r>
      <w:r w:rsidR="00CD4549">
        <w:t>use security badges or sign-in sheets</w:t>
      </w:r>
    </w:p>
    <w:p w14:paraId="3DB382B2" w14:textId="77777777" w:rsidR="00E311C4" w:rsidRDefault="00E311C4" w:rsidP="00180030">
      <w:pPr>
        <w:pStyle w:val="Checklistbullet"/>
      </w:pPr>
      <w:r>
        <w:t>all files with personal health information locked away after hours</w:t>
      </w:r>
    </w:p>
    <w:p w14:paraId="2AA9B8B6" w14:textId="77777777" w:rsidR="00E311C4" w:rsidRDefault="00E311C4" w:rsidP="00180030">
      <w:pPr>
        <w:pStyle w:val="Checklistbullet"/>
      </w:pPr>
      <w:r>
        <w:t>all files with personal health information locked away before non-staff permitted entry (e.g. cleaners)</w:t>
      </w:r>
    </w:p>
    <w:p w14:paraId="4C1FF3FC" w14:textId="77777777" w:rsidR="00E311C4" w:rsidRDefault="00E311C4" w:rsidP="00180030">
      <w:pPr>
        <w:pStyle w:val="Checklistbullet"/>
      </w:pPr>
      <w:r>
        <w:t>all non-staff who require entry (e.g. cleaners) must sign confidentiality agreement</w:t>
      </w:r>
    </w:p>
    <w:p w14:paraId="00DFEA89" w14:textId="77777777" w:rsidR="00E311C4" w:rsidRDefault="00E311C4" w:rsidP="00180030">
      <w:pPr>
        <w:pStyle w:val="Checklistbullet"/>
      </w:pPr>
      <w:r>
        <w:t>other: __________________________________________________</w:t>
      </w:r>
    </w:p>
    <w:p w14:paraId="29353109" w14:textId="77777777" w:rsidR="00E311C4" w:rsidRDefault="00E311C4" w:rsidP="00E311C4">
      <w:pPr>
        <w:pStyle w:val="Checklistbullet"/>
        <w:numPr>
          <w:ilvl w:val="0"/>
          <w:numId w:val="0"/>
        </w:numPr>
      </w:pPr>
    </w:p>
    <w:p w14:paraId="78A6E0A3" w14:textId="77777777" w:rsidR="00E311C4" w:rsidRDefault="00E311C4" w:rsidP="00E311C4">
      <w:pPr>
        <w:pStyle w:val="Checklistbullet"/>
        <w:numPr>
          <w:ilvl w:val="0"/>
          <w:numId w:val="0"/>
        </w:numPr>
      </w:pPr>
      <w:r>
        <w:rPr>
          <w:i/>
        </w:rPr>
        <w:t>Office area open to non-staff:</w:t>
      </w:r>
    </w:p>
    <w:p w14:paraId="3504C5AA" w14:textId="77777777" w:rsidR="00E311C4" w:rsidRDefault="00E311C4" w:rsidP="00E311C4">
      <w:pPr>
        <w:pStyle w:val="Checklistbullet"/>
      </w:pPr>
      <w:r>
        <w:t>area must be supervised at all times</w:t>
      </w:r>
    </w:p>
    <w:p w14:paraId="131FD0F8" w14:textId="77777777" w:rsidR="00E311C4" w:rsidRDefault="00E311C4" w:rsidP="00E311C4">
      <w:pPr>
        <w:pStyle w:val="Checklistbullet"/>
      </w:pPr>
      <w:r>
        <w:t>all files with personal health information must be locked away when staff not present (e.g., after hours)</w:t>
      </w:r>
    </w:p>
    <w:p w14:paraId="46A07523" w14:textId="77777777" w:rsidR="009024FA" w:rsidRDefault="009024FA" w:rsidP="00E311C4">
      <w:pPr>
        <w:pStyle w:val="Checklistbullet"/>
      </w:pPr>
      <w:r>
        <w:lastRenderedPageBreak/>
        <w:t>all files with personal health information must be locked away or supervised when staff person leaves their desk</w:t>
      </w:r>
    </w:p>
    <w:p w14:paraId="14BA9EA7" w14:textId="77777777" w:rsidR="009024FA" w:rsidRDefault="009024FA" w:rsidP="00E311C4">
      <w:pPr>
        <w:pStyle w:val="Checklistbullet"/>
      </w:pPr>
      <w:r>
        <w:t>other: __________________________________________________</w:t>
      </w:r>
    </w:p>
    <w:p w14:paraId="56652576" w14:textId="77777777" w:rsidR="009024FA" w:rsidRDefault="009024FA" w:rsidP="009024FA">
      <w:pPr>
        <w:pStyle w:val="Checklistbullet"/>
        <w:numPr>
          <w:ilvl w:val="0"/>
          <w:numId w:val="0"/>
        </w:numPr>
      </w:pPr>
    </w:p>
    <w:p w14:paraId="015B13EF" w14:textId="77777777" w:rsidR="009024FA" w:rsidRDefault="009024FA" w:rsidP="009024FA">
      <w:pPr>
        <w:pStyle w:val="Checklistbullet"/>
        <w:numPr>
          <w:ilvl w:val="0"/>
          <w:numId w:val="0"/>
        </w:numPr>
      </w:pPr>
      <w:r>
        <w:rPr>
          <w:i/>
        </w:rPr>
        <w:t>Home office:</w:t>
      </w:r>
    </w:p>
    <w:p w14:paraId="1E18792A" w14:textId="77777777" w:rsidR="009024FA" w:rsidRDefault="009024FA" w:rsidP="009024FA">
      <w:pPr>
        <w:pStyle w:val="Checklistbullet"/>
      </w:pPr>
      <w:r>
        <w:t>files with personal health information must be locked away in a desk, filing cabinet or</w:t>
      </w:r>
      <w:r w:rsidR="00D96DA7">
        <w:t xml:space="preserve"> separate room when unattended</w:t>
      </w:r>
    </w:p>
    <w:p w14:paraId="2BED02B9" w14:textId="77777777" w:rsidR="009024FA" w:rsidRDefault="009024FA" w:rsidP="009024FA">
      <w:pPr>
        <w:pStyle w:val="Checklistbullet"/>
      </w:pPr>
      <w:r>
        <w:t>other: __________________________________________________</w:t>
      </w:r>
    </w:p>
    <w:p w14:paraId="3E8E369B" w14:textId="77777777" w:rsidR="009024FA" w:rsidRPr="009024FA" w:rsidRDefault="009024FA" w:rsidP="009024FA">
      <w:pPr>
        <w:pStyle w:val="Checklistbullet"/>
        <w:numPr>
          <w:ilvl w:val="0"/>
          <w:numId w:val="0"/>
        </w:numPr>
      </w:pPr>
    </w:p>
    <w:p w14:paraId="70D1ADC3" w14:textId="77777777" w:rsidR="009024FA" w:rsidRDefault="009024FA" w:rsidP="009024FA">
      <w:pPr>
        <w:pStyle w:val="Checklistbullet"/>
        <w:numPr>
          <w:ilvl w:val="0"/>
          <w:numId w:val="0"/>
        </w:numPr>
      </w:pPr>
      <w:r>
        <w:rPr>
          <w:i/>
        </w:rPr>
        <w:t>Transfer of physical files:</w:t>
      </w:r>
    </w:p>
    <w:p w14:paraId="37040515" w14:textId="77777777" w:rsidR="009024FA" w:rsidRDefault="00C11E30" w:rsidP="009024FA">
      <w:pPr>
        <w:pStyle w:val="Checklistbullet"/>
      </w:pPr>
      <w:r>
        <w:t xml:space="preserve">in </w:t>
      </w:r>
      <w:r w:rsidR="003F322B">
        <w:t xml:space="preserve">a </w:t>
      </w:r>
      <w:r>
        <w:t>sealed envelope, marked private and confidential</w:t>
      </w:r>
      <w:r w:rsidR="00E65EFD">
        <w:t>, sent by Canada Post or reputable courier</w:t>
      </w:r>
      <w:r w:rsidR="00C554B0">
        <w:t xml:space="preserve"> with a strong privacy policy</w:t>
      </w:r>
      <w:r w:rsidR="00E65EFD">
        <w:rPr>
          <w:rStyle w:val="FootnoteReference"/>
        </w:rPr>
        <w:footnoteReference w:id="11"/>
      </w:r>
      <w:r>
        <w:t xml:space="preserve"> </w:t>
      </w:r>
    </w:p>
    <w:p w14:paraId="3043B831" w14:textId="77777777" w:rsidR="003F322B" w:rsidRDefault="003F322B" w:rsidP="009024FA">
      <w:pPr>
        <w:pStyle w:val="Checklistbullet"/>
      </w:pPr>
      <w:r>
        <w:t>in a sealed envelope, marked private and confidential, delivered by staff</w:t>
      </w:r>
    </w:p>
    <w:p w14:paraId="30FE072B" w14:textId="77777777" w:rsidR="003F322B" w:rsidRDefault="003F322B" w:rsidP="009024FA">
      <w:pPr>
        <w:pStyle w:val="Checklistbullet"/>
      </w:pPr>
      <w:r>
        <w:t>in a sealed enve</w:t>
      </w:r>
      <w:r w:rsidR="00F14481">
        <w:t>lope to be picked up by recipient or person authorized by recipient (identity to be confirmed)</w:t>
      </w:r>
    </w:p>
    <w:p w14:paraId="1C65CE85" w14:textId="77777777" w:rsidR="009024FA" w:rsidRDefault="009024FA" w:rsidP="009024FA">
      <w:pPr>
        <w:pStyle w:val="Checklistbullet"/>
      </w:pPr>
      <w:r>
        <w:t>other: __________________________________________________</w:t>
      </w:r>
    </w:p>
    <w:p w14:paraId="08B08C40" w14:textId="77777777" w:rsidR="009024FA" w:rsidRDefault="009024FA" w:rsidP="009024FA">
      <w:pPr>
        <w:pStyle w:val="Checklistbullet"/>
        <w:numPr>
          <w:ilvl w:val="0"/>
          <w:numId w:val="0"/>
        </w:numPr>
      </w:pPr>
    </w:p>
    <w:p w14:paraId="7801351C" w14:textId="77777777" w:rsidR="00C5373E" w:rsidRDefault="00C5373E" w:rsidP="00C5373E">
      <w:pPr>
        <w:pStyle w:val="Checklistbullet"/>
        <w:numPr>
          <w:ilvl w:val="0"/>
          <w:numId w:val="0"/>
        </w:numPr>
      </w:pPr>
      <w:r>
        <w:rPr>
          <w:i/>
        </w:rPr>
        <w:t>General:</w:t>
      </w:r>
    </w:p>
    <w:p w14:paraId="615F6669" w14:textId="77777777" w:rsidR="00C5373E" w:rsidRDefault="00C5373E" w:rsidP="00C5373E">
      <w:pPr>
        <w:pStyle w:val="Checklistbullet"/>
      </w:pPr>
      <w:r>
        <w:t>office equipped with alarm/security system</w:t>
      </w:r>
    </w:p>
    <w:p w14:paraId="23E8B212" w14:textId="77777777" w:rsidR="00C5373E" w:rsidRDefault="00C5373E" w:rsidP="00C5373E">
      <w:pPr>
        <w:pStyle w:val="Checklistbullet"/>
      </w:pPr>
      <w:r>
        <w:t>other: __________________________________________________</w:t>
      </w:r>
    </w:p>
    <w:p w14:paraId="310433E8" w14:textId="77777777" w:rsidR="009024FA" w:rsidRPr="009024FA" w:rsidRDefault="009024FA" w:rsidP="009024FA">
      <w:pPr>
        <w:pStyle w:val="Checklistbullet"/>
        <w:numPr>
          <w:ilvl w:val="0"/>
          <w:numId w:val="0"/>
        </w:numPr>
      </w:pPr>
    </w:p>
    <w:p w14:paraId="09481D2E" w14:textId="77777777" w:rsidR="00180030" w:rsidRDefault="00180030" w:rsidP="00F17989">
      <w:pPr>
        <w:rPr>
          <w:b/>
        </w:rPr>
      </w:pPr>
      <w:r>
        <w:rPr>
          <w:b/>
        </w:rPr>
        <w:t>Technical Safeguards</w:t>
      </w:r>
    </w:p>
    <w:p w14:paraId="2E9435A5" w14:textId="77777777" w:rsidR="00161380" w:rsidRDefault="00161380" w:rsidP="00AF7FB2">
      <w:pPr>
        <w:pStyle w:val="Checklistbullet"/>
        <w:numPr>
          <w:ilvl w:val="0"/>
          <w:numId w:val="0"/>
        </w:numPr>
        <w:rPr>
          <w:i/>
        </w:rPr>
      </w:pPr>
      <w:r>
        <w:rPr>
          <w:i/>
        </w:rPr>
        <w:t>If electronic health care records are maintained, there must be an audit log containing the following:</w:t>
      </w:r>
    </w:p>
    <w:p w14:paraId="06DABCCF" w14:textId="77777777" w:rsidR="00161380" w:rsidRDefault="00161380" w:rsidP="00161380">
      <w:pPr>
        <w:pStyle w:val="Checklistbullet"/>
      </w:pPr>
      <w:r>
        <w:t>the type of information viewed or dealt with</w:t>
      </w:r>
    </w:p>
    <w:p w14:paraId="1089F7B7" w14:textId="0401F372" w:rsidR="00161380" w:rsidRDefault="00161380" w:rsidP="00161380">
      <w:pPr>
        <w:pStyle w:val="Checklistbullet"/>
      </w:pPr>
      <w:r>
        <w:t xml:space="preserve">the date and time the information was viewed or dealt with </w:t>
      </w:r>
    </w:p>
    <w:p w14:paraId="17F0E8E5" w14:textId="77777777" w:rsidR="00161380" w:rsidRDefault="00161380" w:rsidP="00161380">
      <w:pPr>
        <w:pStyle w:val="Checklistbullet"/>
      </w:pPr>
      <w:r>
        <w:t>the identity of the person(s) viewing or dealing with the information</w:t>
      </w:r>
    </w:p>
    <w:p w14:paraId="102362A0" w14:textId="77777777" w:rsidR="00161380" w:rsidRDefault="00161380" w:rsidP="00161380">
      <w:pPr>
        <w:pStyle w:val="Checklistbullet"/>
      </w:pPr>
      <w:r>
        <w:t xml:space="preserve">the identity of the </w:t>
      </w:r>
      <w:r w:rsidR="00AB61FF">
        <w:t>client</w:t>
      </w:r>
    </w:p>
    <w:p w14:paraId="388B47E7" w14:textId="77777777" w:rsidR="00161380" w:rsidRDefault="00161380" w:rsidP="00161380">
      <w:pPr>
        <w:pStyle w:val="Checklistbullet"/>
      </w:pPr>
      <w:r>
        <w:t>any other requirements that may be added by regulation</w:t>
      </w:r>
    </w:p>
    <w:p w14:paraId="52523019" w14:textId="77777777" w:rsidR="00161380" w:rsidRDefault="00161380" w:rsidP="00161380">
      <w:pPr>
        <w:pStyle w:val="Checklistbullet"/>
      </w:pPr>
      <w:r>
        <w:t>other: __________________________________________________</w:t>
      </w:r>
    </w:p>
    <w:p w14:paraId="360C1E5A" w14:textId="77777777" w:rsidR="00161380" w:rsidRDefault="00161380" w:rsidP="00AF7FB2">
      <w:pPr>
        <w:pStyle w:val="Checklistbullet"/>
        <w:numPr>
          <w:ilvl w:val="0"/>
          <w:numId w:val="0"/>
        </w:numPr>
      </w:pPr>
    </w:p>
    <w:p w14:paraId="09F5326C" w14:textId="77777777" w:rsidR="00AF7FB2" w:rsidRDefault="00AF7FB2" w:rsidP="00AF7FB2">
      <w:pPr>
        <w:pStyle w:val="Checklistbullet"/>
        <w:numPr>
          <w:ilvl w:val="0"/>
          <w:numId w:val="0"/>
        </w:numPr>
      </w:pPr>
      <w:r>
        <w:rPr>
          <w:i/>
        </w:rPr>
        <w:t>Mobile devices</w:t>
      </w:r>
      <w:r w:rsidR="002768D9">
        <w:rPr>
          <w:i/>
        </w:rPr>
        <w:t xml:space="preserve"> (e.g. </w:t>
      </w:r>
      <w:r w:rsidR="00A5576D">
        <w:rPr>
          <w:i/>
        </w:rPr>
        <w:t xml:space="preserve">smart phones, </w:t>
      </w:r>
      <w:r w:rsidR="002768D9">
        <w:rPr>
          <w:i/>
        </w:rPr>
        <w:t>laptops, USB keys) and remote access</w:t>
      </w:r>
      <w:r>
        <w:rPr>
          <w:i/>
        </w:rPr>
        <w:t>:</w:t>
      </w:r>
    </w:p>
    <w:p w14:paraId="1E9C16E7" w14:textId="77777777" w:rsidR="00AF7FB2" w:rsidRDefault="00AF7FB2" w:rsidP="00AF7FB2">
      <w:pPr>
        <w:pStyle w:val="Checklistbullet"/>
      </w:pPr>
      <w:r>
        <w:t>must have strong encryption</w:t>
      </w:r>
    </w:p>
    <w:p w14:paraId="65276233" w14:textId="77777777" w:rsidR="00AF7FB2" w:rsidRDefault="00AF7FB2" w:rsidP="00AF7FB2">
      <w:pPr>
        <w:pStyle w:val="Checklistbullet"/>
      </w:pPr>
      <w:r>
        <w:t>must have strong login password</w:t>
      </w:r>
    </w:p>
    <w:p w14:paraId="32EF26E7" w14:textId="77777777" w:rsidR="002768D9" w:rsidRDefault="002768D9" w:rsidP="00AF7FB2">
      <w:pPr>
        <w:pStyle w:val="Checklistbullet"/>
      </w:pPr>
      <w:r>
        <w:t>identifying information should not be used in cell phone conversations, text messages or email messages</w:t>
      </w:r>
    </w:p>
    <w:p w14:paraId="1BB446BC" w14:textId="77777777" w:rsidR="002768D9" w:rsidRDefault="002768D9" w:rsidP="00AF7FB2">
      <w:pPr>
        <w:pStyle w:val="Checklistbullet"/>
      </w:pPr>
      <w:r>
        <w:t>remote access available only through secure remote network or virtual private network</w:t>
      </w:r>
    </w:p>
    <w:p w14:paraId="6E0A5377" w14:textId="77777777" w:rsidR="002768D9" w:rsidRDefault="002768D9" w:rsidP="002768D9">
      <w:pPr>
        <w:pStyle w:val="Checklistbullet"/>
      </w:pPr>
      <w:r>
        <w:t>other: __________________________________________________</w:t>
      </w:r>
    </w:p>
    <w:p w14:paraId="1D30ECC6" w14:textId="77777777" w:rsidR="00AF7FB2" w:rsidRPr="00AF7FB2" w:rsidRDefault="00AF7FB2" w:rsidP="002768D9">
      <w:pPr>
        <w:pStyle w:val="Checklistbullet"/>
        <w:numPr>
          <w:ilvl w:val="0"/>
          <w:numId w:val="0"/>
        </w:numPr>
        <w:ind w:left="360"/>
      </w:pPr>
    </w:p>
    <w:p w14:paraId="78F83B2C" w14:textId="77777777" w:rsidR="00541391" w:rsidRDefault="00541391" w:rsidP="00AF7FB2">
      <w:pPr>
        <w:pStyle w:val="Checklistbullet"/>
        <w:numPr>
          <w:ilvl w:val="0"/>
          <w:numId w:val="0"/>
        </w:numPr>
      </w:pPr>
      <w:r>
        <w:rPr>
          <w:i/>
        </w:rPr>
        <w:t>Transfer of electronic information:</w:t>
      </w:r>
    </w:p>
    <w:p w14:paraId="6602FF9E" w14:textId="77777777" w:rsidR="00541391" w:rsidRDefault="00541391" w:rsidP="00541391">
      <w:pPr>
        <w:pStyle w:val="Checklistbullet"/>
      </w:pPr>
      <w:r>
        <w:t>by using an encrypted USB drive</w:t>
      </w:r>
      <w:r w:rsidR="009B761D">
        <w:t xml:space="preserve"> or other </w:t>
      </w:r>
      <w:r w:rsidR="00C039A5">
        <w:t xml:space="preserve">encrypted </w:t>
      </w:r>
      <w:r w:rsidR="009B761D">
        <w:t>storage device</w:t>
      </w:r>
    </w:p>
    <w:p w14:paraId="1C153B53" w14:textId="77777777" w:rsidR="00541391" w:rsidRDefault="00541391" w:rsidP="00541391">
      <w:pPr>
        <w:pStyle w:val="Checklistbullet"/>
      </w:pPr>
      <w:r>
        <w:t>by using a secure web portal</w:t>
      </w:r>
    </w:p>
    <w:p w14:paraId="75919A58" w14:textId="77777777" w:rsidR="00610FE2" w:rsidRDefault="00541391" w:rsidP="00541391">
      <w:pPr>
        <w:pStyle w:val="Checklistbullet"/>
      </w:pPr>
      <w:r>
        <w:t xml:space="preserve">by </w:t>
      </w:r>
      <w:r w:rsidR="00610FE2">
        <w:t xml:space="preserve">email if: </w:t>
      </w:r>
    </w:p>
    <w:p w14:paraId="6DDB0ED6" w14:textId="77777777" w:rsidR="00610FE2" w:rsidRDefault="00A5576D" w:rsidP="00610FE2">
      <w:pPr>
        <w:pStyle w:val="Checklistbullet"/>
        <w:numPr>
          <w:ilvl w:val="1"/>
          <w:numId w:val="16"/>
        </w:numPr>
      </w:pPr>
      <w:r>
        <w:t>consent is obtained</w:t>
      </w:r>
      <w:r w:rsidR="00C076E8">
        <w:t xml:space="preserve"> (personal health information must then be limited)</w:t>
      </w:r>
      <w:r>
        <w:t>;</w:t>
      </w:r>
      <w:r w:rsidR="00610FE2">
        <w:t xml:space="preserve"> </w:t>
      </w:r>
    </w:p>
    <w:p w14:paraId="07D5251A" w14:textId="77777777" w:rsidR="00610FE2" w:rsidRDefault="00A5576D" w:rsidP="00610FE2">
      <w:pPr>
        <w:pStyle w:val="Checklistbullet"/>
        <w:numPr>
          <w:ilvl w:val="1"/>
          <w:numId w:val="16"/>
        </w:numPr>
      </w:pPr>
      <w:r>
        <w:t>the message is anonymized;</w:t>
      </w:r>
      <w:r w:rsidR="00610FE2">
        <w:t xml:space="preserve"> or </w:t>
      </w:r>
    </w:p>
    <w:p w14:paraId="16FD0594" w14:textId="77777777" w:rsidR="00541391" w:rsidRDefault="00610FE2" w:rsidP="00610FE2">
      <w:pPr>
        <w:pStyle w:val="Checklistbullet"/>
        <w:numPr>
          <w:ilvl w:val="1"/>
          <w:numId w:val="16"/>
        </w:numPr>
      </w:pPr>
      <w:r>
        <w:t>the information is encrypted</w:t>
      </w:r>
      <w:r w:rsidR="00A5576D">
        <w:t>.</w:t>
      </w:r>
    </w:p>
    <w:p w14:paraId="03CBBBE9" w14:textId="77777777" w:rsidR="00610FE2" w:rsidRDefault="00610FE2" w:rsidP="00541391">
      <w:pPr>
        <w:pStyle w:val="Checklistbullet"/>
      </w:pPr>
      <w:r>
        <w:t>by fax if:</w:t>
      </w:r>
    </w:p>
    <w:p w14:paraId="39F49583" w14:textId="77777777" w:rsidR="00610FE2" w:rsidRDefault="009B761D" w:rsidP="00610FE2">
      <w:pPr>
        <w:pStyle w:val="Checklistbullet"/>
        <w:numPr>
          <w:ilvl w:val="1"/>
          <w:numId w:val="16"/>
        </w:numPr>
      </w:pPr>
      <w:r>
        <w:t>a cover sheet identifies the recipient and includes a privacy clause</w:t>
      </w:r>
      <w:r w:rsidR="00A5576D">
        <w:t>;</w:t>
      </w:r>
    </w:p>
    <w:p w14:paraId="7718A172" w14:textId="77777777" w:rsidR="009B761D" w:rsidRDefault="009B761D" w:rsidP="00610FE2">
      <w:pPr>
        <w:pStyle w:val="Checklistbullet"/>
        <w:numPr>
          <w:ilvl w:val="1"/>
          <w:numId w:val="16"/>
        </w:numPr>
      </w:pPr>
      <w:r>
        <w:t>the fax number has been approved by the recipient</w:t>
      </w:r>
      <w:r w:rsidR="00A5576D">
        <w:t>;</w:t>
      </w:r>
    </w:p>
    <w:p w14:paraId="06F690F9" w14:textId="77777777" w:rsidR="009B761D" w:rsidRDefault="009B761D" w:rsidP="00610FE2">
      <w:pPr>
        <w:pStyle w:val="Checklistbullet"/>
        <w:numPr>
          <w:ilvl w:val="1"/>
          <w:numId w:val="16"/>
        </w:numPr>
      </w:pPr>
      <w:r>
        <w:t>the recipient is expecting the fax</w:t>
      </w:r>
      <w:r w:rsidR="00A5576D">
        <w:t>;</w:t>
      </w:r>
    </w:p>
    <w:p w14:paraId="3C244BFE" w14:textId="77777777" w:rsidR="009B761D" w:rsidRDefault="009B761D" w:rsidP="00610FE2">
      <w:pPr>
        <w:pStyle w:val="Checklistbullet"/>
        <w:numPr>
          <w:ilvl w:val="1"/>
          <w:numId w:val="16"/>
        </w:numPr>
      </w:pPr>
      <w:r>
        <w:t>the recipient has advised that the fax machine is securely located</w:t>
      </w:r>
      <w:r w:rsidR="00A5576D">
        <w:t>;</w:t>
      </w:r>
      <w:r w:rsidR="00D608AD">
        <w:t xml:space="preserve"> and</w:t>
      </w:r>
    </w:p>
    <w:p w14:paraId="57841734" w14:textId="77777777" w:rsidR="009B761D" w:rsidRDefault="00615272" w:rsidP="00610FE2">
      <w:pPr>
        <w:pStyle w:val="Checklistbullet"/>
        <w:numPr>
          <w:ilvl w:val="1"/>
          <w:numId w:val="16"/>
        </w:numPr>
      </w:pPr>
      <w:r>
        <w:t>the recipient confirms t</w:t>
      </w:r>
      <w:r w:rsidR="009B761D">
        <w:t>hat all pages have been received</w:t>
      </w:r>
      <w:r w:rsidR="00A5576D">
        <w:t>.</w:t>
      </w:r>
    </w:p>
    <w:p w14:paraId="017B0E1F" w14:textId="77777777" w:rsidR="009B761D" w:rsidRDefault="009B761D" w:rsidP="009B761D">
      <w:pPr>
        <w:pStyle w:val="Checklistbullet"/>
      </w:pPr>
      <w:r>
        <w:t>other: __________________________________________________</w:t>
      </w:r>
    </w:p>
    <w:p w14:paraId="68D961C6" w14:textId="77777777" w:rsidR="00541391" w:rsidRPr="00541391" w:rsidRDefault="00541391" w:rsidP="00AF7FB2">
      <w:pPr>
        <w:pStyle w:val="Checklistbullet"/>
        <w:numPr>
          <w:ilvl w:val="0"/>
          <w:numId w:val="0"/>
        </w:numPr>
      </w:pPr>
    </w:p>
    <w:p w14:paraId="7688D0B4" w14:textId="77777777" w:rsidR="00AF7FB2" w:rsidRDefault="00AF7FB2" w:rsidP="00AF7FB2">
      <w:pPr>
        <w:pStyle w:val="Checklistbullet"/>
        <w:numPr>
          <w:ilvl w:val="0"/>
          <w:numId w:val="0"/>
        </w:numPr>
        <w:rPr>
          <w:i/>
        </w:rPr>
      </w:pPr>
      <w:r>
        <w:rPr>
          <w:i/>
        </w:rPr>
        <w:t>General:</w:t>
      </w:r>
    </w:p>
    <w:p w14:paraId="79BB84A5" w14:textId="77777777" w:rsidR="002768D9" w:rsidRDefault="002768D9" w:rsidP="00AF7FB2">
      <w:pPr>
        <w:pStyle w:val="Checklistbullet"/>
      </w:pPr>
      <w:r>
        <w:t>networks/computers must be protected by up-to-date virus scanners and firewalls</w:t>
      </w:r>
    </w:p>
    <w:p w14:paraId="29DCA681" w14:textId="77777777" w:rsidR="002768D9" w:rsidRDefault="002768D9" w:rsidP="00AF7FB2">
      <w:pPr>
        <w:pStyle w:val="Checklistbullet"/>
      </w:pPr>
      <w:r>
        <w:t>appropriate file back-up systems must be in place</w:t>
      </w:r>
    </w:p>
    <w:p w14:paraId="10EC6062" w14:textId="77777777" w:rsidR="00AF7FB2" w:rsidRDefault="00AF7FB2" w:rsidP="00AF7FB2">
      <w:pPr>
        <w:pStyle w:val="Checklistbullet"/>
      </w:pPr>
      <w:r>
        <w:t>for more sophisticated networks, unique user identifiers, audit trails, and intrusion detection systems</w:t>
      </w:r>
    </w:p>
    <w:p w14:paraId="573A47F2" w14:textId="77777777" w:rsidR="00AF7FB2" w:rsidRDefault="00AF7FB2" w:rsidP="00AF7FB2">
      <w:pPr>
        <w:pStyle w:val="Checklistbullet"/>
      </w:pPr>
      <w:r>
        <w:t>for wireless networks, up-to-date transmission encryption should be used</w:t>
      </w:r>
    </w:p>
    <w:p w14:paraId="71E6FF87" w14:textId="77777777" w:rsidR="009373F3" w:rsidRDefault="009373F3" w:rsidP="009373F3">
      <w:pPr>
        <w:pStyle w:val="Checklistbullet"/>
      </w:pPr>
      <w:r>
        <w:t>other: __________________________________________________</w:t>
      </w:r>
    </w:p>
    <w:p w14:paraId="7684E604" w14:textId="77777777" w:rsidR="00CE0576" w:rsidRPr="00AF7FB2" w:rsidRDefault="00CE0576" w:rsidP="00AF7FB2">
      <w:pPr>
        <w:pStyle w:val="Checklistbullet"/>
        <w:numPr>
          <w:ilvl w:val="0"/>
          <w:numId w:val="0"/>
        </w:numPr>
      </w:pPr>
    </w:p>
    <w:p w14:paraId="1E948853" w14:textId="77777777" w:rsidR="00E311C4" w:rsidRDefault="00E311C4" w:rsidP="00E311C4">
      <w:r>
        <w:rPr>
          <w:b/>
        </w:rPr>
        <w:t>Administrative Safeguards</w:t>
      </w:r>
    </w:p>
    <w:p w14:paraId="433E8CC1" w14:textId="77777777" w:rsidR="009B761D" w:rsidRDefault="009B761D" w:rsidP="00E311C4">
      <w:pPr>
        <w:pStyle w:val="Checklistbullet"/>
      </w:pPr>
      <w:r>
        <w:t xml:space="preserve">staff (including temporary staff) </w:t>
      </w:r>
      <w:r w:rsidR="002C6FEB">
        <w:t>is</w:t>
      </w:r>
      <w:r>
        <w:t xml:space="preserve"> trained in the following:</w:t>
      </w:r>
    </w:p>
    <w:p w14:paraId="51AA8F38" w14:textId="77777777" w:rsidR="009B761D" w:rsidRDefault="009B761D" w:rsidP="009B761D">
      <w:pPr>
        <w:pStyle w:val="Checklistbullet"/>
        <w:numPr>
          <w:ilvl w:val="1"/>
          <w:numId w:val="16"/>
        </w:numPr>
      </w:pPr>
      <w:r>
        <w:t>the importance of protecting the privacy of personal health information</w:t>
      </w:r>
    </w:p>
    <w:p w14:paraId="17453FA6" w14:textId="77777777" w:rsidR="009B761D" w:rsidRDefault="009B761D" w:rsidP="009B761D">
      <w:pPr>
        <w:pStyle w:val="Checklistbullet"/>
        <w:numPr>
          <w:ilvl w:val="1"/>
          <w:numId w:val="16"/>
        </w:numPr>
      </w:pPr>
      <w:r>
        <w:lastRenderedPageBreak/>
        <w:t>access to personal health information within the organization is on a need-to-know basis</w:t>
      </w:r>
    </w:p>
    <w:p w14:paraId="56A770C9" w14:textId="77777777" w:rsidR="009B761D" w:rsidRDefault="009B761D" w:rsidP="009B761D">
      <w:pPr>
        <w:pStyle w:val="Checklistbullet"/>
        <w:numPr>
          <w:ilvl w:val="1"/>
          <w:numId w:val="16"/>
        </w:numPr>
      </w:pPr>
      <w:r>
        <w:t xml:space="preserve">the organization’s Privacy Policy </w:t>
      </w:r>
    </w:p>
    <w:p w14:paraId="709EB2AC" w14:textId="77777777" w:rsidR="008C07FC" w:rsidRDefault="008C07FC" w:rsidP="009B761D">
      <w:pPr>
        <w:pStyle w:val="Checklistbullet"/>
        <w:numPr>
          <w:ilvl w:val="1"/>
          <w:numId w:val="16"/>
        </w:numPr>
      </w:pPr>
      <w:r>
        <w:t>the appropriate use of social media</w:t>
      </w:r>
    </w:p>
    <w:p w14:paraId="133960A8" w14:textId="77777777" w:rsidR="009B761D" w:rsidRDefault="009B761D" w:rsidP="009B761D">
      <w:pPr>
        <w:pStyle w:val="Checklistbullet"/>
        <w:numPr>
          <w:ilvl w:val="1"/>
          <w:numId w:val="16"/>
        </w:numPr>
      </w:pPr>
      <w:r>
        <w:t>sensitivity in collecting or using personal health information verbally where others might hear</w:t>
      </w:r>
    </w:p>
    <w:p w14:paraId="1B3DBD5D" w14:textId="77777777" w:rsidR="00A5576D" w:rsidRDefault="00A5576D" w:rsidP="009B761D">
      <w:pPr>
        <w:pStyle w:val="Checklistbullet"/>
        <w:numPr>
          <w:ilvl w:val="1"/>
          <w:numId w:val="16"/>
        </w:numPr>
      </w:pPr>
      <w:r>
        <w:t>sensitivity in handling personal health information on mobile devices where others might be able read (“shoulder-surfing”)</w:t>
      </w:r>
    </w:p>
    <w:p w14:paraId="2A965255" w14:textId="77777777" w:rsidR="009B761D" w:rsidRDefault="003C6280" w:rsidP="009B761D">
      <w:pPr>
        <w:pStyle w:val="Checklistbullet"/>
        <w:numPr>
          <w:ilvl w:val="1"/>
          <w:numId w:val="16"/>
        </w:numPr>
      </w:pPr>
      <w:r>
        <w:t>when providing copies of personal health information internally or externally, to remove or redact unnecessary personal health information</w:t>
      </w:r>
    </w:p>
    <w:p w14:paraId="63E14D89" w14:textId="77777777" w:rsidR="003C6280" w:rsidRDefault="003C6280" w:rsidP="003C6280">
      <w:pPr>
        <w:pStyle w:val="Checklistbullet"/>
        <w:numPr>
          <w:ilvl w:val="1"/>
          <w:numId w:val="16"/>
        </w:numPr>
      </w:pPr>
      <w:r>
        <w:t>to recognize and avoid being “pumped” for information</w:t>
      </w:r>
    </w:p>
    <w:p w14:paraId="5568659F" w14:textId="77777777" w:rsidR="003C6280" w:rsidRDefault="003C6280" w:rsidP="003C6280">
      <w:pPr>
        <w:pStyle w:val="Checklistbullet"/>
        <w:numPr>
          <w:ilvl w:val="1"/>
          <w:numId w:val="16"/>
        </w:numPr>
      </w:pPr>
      <w:r>
        <w:t xml:space="preserve">to ensure that any personal information is not accidentally discarded in the regular garbage or blue box disposal system, but rather is </w:t>
      </w:r>
      <w:r w:rsidR="00C554B0">
        <w:t xml:space="preserve">cross-cut </w:t>
      </w:r>
      <w:r>
        <w:t>shredded</w:t>
      </w:r>
    </w:p>
    <w:p w14:paraId="210F7156" w14:textId="77777777" w:rsidR="00326E63" w:rsidRDefault="00326E63" w:rsidP="003C6280">
      <w:pPr>
        <w:pStyle w:val="Checklistbullet"/>
        <w:numPr>
          <w:ilvl w:val="1"/>
          <w:numId w:val="16"/>
        </w:numPr>
      </w:pPr>
      <w:r>
        <w:t>to ensure that when electronic data is deleted or hardware is discarded, the data cannot be recovered</w:t>
      </w:r>
    </w:p>
    <w:p w14:paraId="687BAB49" w14:textId="77777777" w:rsidR="003C6280" w:rsidRDefault="003C6280" w:rsidP="003C6280">
      <w:pPr>
        <w:pStyle w:val="Checklistbullet"/>
        <w:numPr>
          <w:ilvl w:val="1"/>
          <w:numId w:val="16"/>
        </w:numPr>
      </w:pPr>
      <w:r>
        <w:t>to avoid discussing personal information in public places (e.g., elevators, restaurants, washrooms, public transit)</w:t>
      </w:r>
    </w:p>
    <w:p w14:paraId="6B66EE74" w14:textId="77777777" w:rsidR="00EE2FD4" w:rsidRDefault="00EE2FD4" w:rsidP="003C6280">
      <w:pPr>
        <w:pStyle w:val="Checklistbullet"/>
        <w:numPr>
          <w:ilvl w:val="1"/>
          <w:numId w:val="16"/>
        </w:numPr>
      </w:pPr>
      <w:r>
        <w:t xml:space="preserve">the fact that the organization needs to be notified about any breaches, who must be notified and that notification must be made at the first reasonable opportunity </w:t>
      </w:r>
    </w:p>
    <w:p w14:paraId="66D6B74C" w14:textId="77777777" w:rsidR="003C6280" w:rsidRDefault="003C6280" w:rsidP="003C6280">
      <w:pPr>
        <w:pStyle w:val="Checklistbullet"/>
        <w:numPr>
          <w:ilvl w:val="1"/>
          <w:numId w:val="16"/>
        </w:numPr>
      </w:pPr>
      <w:r>
        <w:t>that breach of the organization’s policies will result in discipline up to and including dismissal</w:t>
      </w:r>
      <w:r w:rsidR="008C07FC">
        <w:t>, as well as a report to the relevant regulatory College</w:t>
      </w:r>
      <w:r w:rsidR="00A5576D">
        <w:t xml:space="preserve"> and may result in </w:t>
      </w:r>
      <w:r w:rsidR="00C076E8">
        <w:t>disclosure</w:t>
      </w:r>
      <w:r w:rsidR="00A5576D">
        <w:t xml:space="preserve"> to the Information and Privacy Commissioner or a provincial prosecution</w:t>
      </w:r>
    </w:p>
    <w:p w14:paraId="5642D2D2" w14:textId="77777777" w:rsidR="003C6280" w:rsidRDefault="003C6280" w:rsidP="003C6280">
      <w:pPr>
        <w:pStyle w:val="Checklistbullet"/>
      </w:pPr>
      <w:r>
        <w:t>regular (at least annual) review and updating of staff through a continuing education program</w:t>
      </w:r>
    </w:p>
    <w:p w14:paraId="5C9EB7ED" w14:textId="77777777" w:rsidR="003C6280" w:rsidRDefault="003C6280" w:rsidP="003C6280">
      <w:pPr>
        <w:pStyle w:val="Checklistbullet"/>
      </w:pPr>
      <w:r>
        <w:t>privacy and security agreements with the following consultants and outsourced providers:</w:t>
      </w:r>
    </w:p>
    <w:p w14:paraId="5002DFAE" w14:textId="77777777" w:rsidR="003C6280" w:rsidRDefault="003C6280" w:rsidP="003C6280">
      <w:pPr>
        <w:pStyle w:val="Checklistbullet"/>
        <w:numPr>
          <w:ilvl w:val="1"/>
          <w:numId w:val="16"/>
        </w:numPr>
      </w:pPr>
      <w:r>
        <w:t>temporary workers</w:t>
      </w:r>
    </w:p>
    <w:p w14:paraId="194BF539" w14:textId="77777777" w:rsidR="003C6280" w:rsidRDefault="003C6280" w:rsidP="003C6280">
      <w:pPr>
        <w:pStyle w:val="Checklistbullet"/>
        <w:numPr>
          <w:ilvl w:val="1"/>
          <w:numId w:val="16"/>
        </w:numPr>
      </w:pPr>
      <w:r>
        <w:t>cleaners</w:t>
      </w:r>
    </w:p>
    <w:p w14:paraId="120B4B79" w14:textId="77777777" w:rsidR="003C6280" w:rsidRDefault="003C6280" w:rsidP="003C6280">
      <w:pPr>
        <w:pStyle w:val="Checklistbullet"/>
        <w:numPr>
          <w:ilvl w:val="1"/>
          <w:numId w:val="16"/>
        </w:numPr>
      </w:pPr>
      <w:r>
        <w:t>information technology providers</w:t>
      </w:r>
    </w:p>
    <w:p w14:paraId="565B2A89" w14:textId="77777777" w:rsidR="003C6280" w:rsidRDefault="003C6280" w:rsidP="003C6280">
      <w:pPr>
        <w:pStyle w:val="Checklistbullet"/>
        <w:numPr>
          <w:ilvl w:val="1"/>
          <w:numId w:val="16"/>
        </w:numPr>
      </w:pPr>
      <w:r>
        <w:t>marketers</w:t>
      </w:r>
    </w:p>
    <w:p w14:paraId="027BB1D9" w14:textId="77777777" w:rsidR="003C6280" w:rsidRDefault="003C6280" w:rsidP="003C6280">
      <w:pPr>
        <w:pStyle w:val="Checklistbullet"/>
        <w:numPr>
          <w:ilvl w:val="1"/>
          <w:numId w:val="16"/>
        </w:numPr>
      </w:pPr>
      <w:r>
        <w:t>legal</w:t>
      </w:r>
    </w:p>
    <w:p w14:paraId="5E6290C5" w14:textId="77777777" w:rsidR="003C6280" w:rsidRDefault="003C6280" w:rsidP="003C6280">
      <w:pPr>
        <w:pStyle w:val="Checklistbullet"/>
        <w:numPr>
          <w:ilvl w:val="1"/>
          <w:numId w:val="16"/>
        </w:numPr>
      </w:pPr>
      <w:r>
        <w:t>bookkeeping and accounting</w:t>
      </w:r>
    </w:p>
    <w:p w14:paraId="0658C597" w14:textId="77777777" w:rsidR="003C6280" w:rsidRDefault="003C6280" w:rsidP="003C6280">
      <w:pPr>
        <w:pStyle w:val="Checklistbullet"/>
        <w:numPr>
          <w:ilvl w:val="1"/>
          <w:numId w:val="16"/>
        </w:numPr>
      </w:pPr>
      <w:r>
        <w:t>file storage</w:t>
      </w:r>
    </w:p>
    <w:p w14:paraId="16A0EB2E" w14:textId="77777777" w:rsidR="003C6280" w:rsidRDefault="003C6280" w:rsidP="003C6280">
      <w:pPr>
        <w:pStyle w:val="Checklistbullet"/>
        <w:numPr>
          <w:ilvl w:val="1"/>
          <w:numId w:val="16"/>
        </w:numPr>
      </w:pPr>
      <w:r>
        <w:t>credit card companies</w:t>
      </w:r>
    </w:p>
    <w:p w14:paraId="366AF577" w14:textId="77777777" w:rsidR="003C6280" w:rsidRDefault="003C6280" w:rsidP="003C6280">
      <w:pPr>
        <w:pStyle w:val="Checklistbullet"/>
        <w:numPr>
          <w:ilvl w:val="1"/>
          <w:numId w:val="16"/>
        </w:numPr>
      </w:pPr>
      <w:r>
        <w:t>website manager</w:t>
      </w:r>
    </w:p>
    <w:p w14:paraId="4057A116" w14:textId="77777777" w:rsidR="003C6280" w:rsidRDefault="003C6280" w:rsidP="003C6280">
      <w:pPr>
        <w:pStyle w:val="Checklistbullet"/>
        <w:numPr>
          <w:ilvl w:val="1"/>
          <w:numId w:val="16"/>
        </w:numPr>
      </w:pPr>
      <w:r>
        <w:t>office security</w:t>
      </w:r>
    </w:p>
    <w:p w14:paraId="7CCB8E13" w14:textId="77777777" w:rsidR="003C6280" w:rsidRDefault="003C6280" w:rsidP="003C6280">
      <w:pPr>
        <w:pStyle w:val="Checklistbullet"/>
        <w:numPr>
          <w:ilvl w:val="1"/>
          <w:numId w:val="16"/>
        </w:numPr>
      </w:pPr>
      <w:r>
        <w:lastRenderedPageBreak/>
        <w:t>building maintenance</w:t>
      </w:r>
    </w:p>
    <w:p w14:paraId="28165AE0" w14:textId="77777777" w:rsidR="003C6280" w:rsidRDefault="003C6280" w:rsidP="003C6280">
      <w:pPr>
        <w:pStyle w:val="Checklistbullet"/>
        <w:numPr>
          <w:ilvl w:val="1"/>
          <w:numId w:val="16"/>
        </w:numPr>
      </w:pPr>
      <w:r>
        <w:t>landlord</w:t>
      </w:r>
    </w:p>
    <w:p w14:paraId="7CA91378" w14:textId="77777777" w:rsidR="00E311C4" w:rsidRDefault="00E311C4" w:rsidP="003C6280">
      <w:pPr>
        <w:pStyle w:val="Checklistbullet"/>
        <w:numPr>
          <w:ilvl w:val="1"/>
          <w:numId w:val="16"/>
        </w:numPr>
      </w:pPr>
      <w:r>
        <w:t>other: __________________________________________________</w:t>
      </w:r>
    </w:p>
    <w:p w14:paraId="7D5CE976" w14:textId="77777777" w:rsidR="007D7D12" w:rsidRDefault="007D7D12" w:rsidP="007D7D12">
      <w:pPr>
        <w:pStyle w:val="Checklistbullet"/>
      </w:pPr>
      <w:r>
        <w:t>regular and systematic monitoring of compliance with the organization’s policies by the Contact Person or his or her delegate (which should be documented)</w:t>
      </w:r>
    </w:p>
    <w:p w14:paraId="70755245" w14:textId="77777777" w:rsidR="007D7D12" w:rsidRDefault="007D7D12" w:rsidP="007D7D12">
      <w:pPr>
        <w:pStyle w:val="Checklistbullet"/>
      </w:pPr>
      <w:r>
        <w:t>regular reminders to staff to change their passwords and to have strong passwords</w:t>
      </w:r>
    </w:p>
    <w:p w14:paraId="5FE20B63" w14:textId="77777777" w:rsidR="003C6280" w:rsidRDefault="007D7D12" w:rsidP="007D7D12">
      <w:pPr>
        <w:pStyle w:val="Checklistbullet"/>
      </w:pPr>
      <w:r>
        <w:t>regular and systematic auditing of the electronic safeguards by an external company (which should be documented)</w:t>
      </w:r>
    </w:p>
    <w:p w14:paraId="7DDBCB93" w14:textId="77777777" w:rsidR="007D7D12" w:rsidRDefault="007D7D12" w:rsidP="007D7D12">
      <w:pPr>
        <w:pStyle w:val="Checklistbullet"/>
      </w:pPr>
      <w:r>
        <w:t>review physical layout and procedures appropriate to the context (e.g., use rooms rather than cubicles or curtains for sensitive interviews, keep people in the waiting room for as short a time as possible)</w:t>
      </w:r>
    </w:p>
    <w:p w14:paraId="32AFB8C8" w14:textId="619B3C57" w:rsidR="00F17989" w:rsidRDefault="007D7D12" w:rsidP="00F17989">
      <w:pPr>
        <w:pStyle w:val="Checklistbullet"/>
      </w:pPr>
      <w:r>
        <w:t>other: __________________________________________________</w:t>
      </w:r>
    </w:p>
    <w:p w14:paraId="1A50A34E" w14:textId="77777777" w:rsidR="00795EDA" w:rsidRDefault="00435DCE" w:rsidP="00795EDA">
      <w:pPr>
        <w:pStyle w:val="Heading2"/>
      </w:pPr>
      <w:bookmarkStart w:id="17" w:name="_Toc454811786"/>
      <w:r>
        <w:t>(c</w:t>
      </w:r>
      <w:r w:rsidR="00795EDA">
        <w:t>) Retention and Destruction of Personal Information</w:t>
      </w:r>
      <w:bookmarkEnd w:id="17"/>
    </w:p>
    <w:p w14:paraId="2295A83A" w14:textId="77777777" w:rsidR="0047033F" w:rsidRDefault="00C44283" w:rsidP="00795EDA">
      <w:r>
        <w:t>PHIPA requires custodians to establish retention and destruction policies, but it does</w:t>
      </w:r>
      <w:r w:rsidR="00D608AD">
        <w:t xml:space="preserve"> not</w:t>
      </w:r>
      <w:r>
        <w:t xml:space="preserve"> prescribe how long records must be kept.  Health practitioners should abide by their professional standards, as well as any other applicable laws.  Typically, professional standards require health practitioners to retain clinical records for 10 years after the last client interaction or 10 years after the client turns 18 years of age.  Circumstances may require an organization to retain clinical records for a longer period, such as where litigation is contemplated</w:t>
      </w:r>
      <w:r w:rsidR="0054730D">
        <w:t xml:space="preserve"> or ongoing</w:t>
      </w:r>
      <w:r>
        <w:t xml:space="preserve"> or where a request for access to the record is outstanding. </w:t>
      </w:r>
    </w:p>
    <w:p w14:paraId="62637815" w14:textId="77777777" w:rsidR="00795EDA" w:rsidRDefault="00795EDA" w:rsidP="00795EDA">
      <w:r>
        <w:t>Personal health infor</w:t>
      </w:r>
      <w:r w:rsidR="001C5FCC">
        <w:t>mation must be disposed of in a secure manner</w:t>
      </w:r>
      <w:r w:rsidR="00C44283">
        <w:t>, such that the records cannot be reconstructed</w:t>
      </w:r>
      <w:r w:rsidR="001C5FCC">
        <w:t xml:space="preserve"> </w:t>
      </w:r>
      <w:r>
        <w:t>(s. 1</w:t>
      </w:r>
      <w:r w:rsidR="001C5FCC">
        <w:t>3</w:t>
      </w:r>
      <w:r w:rsidR="00C44283">
        <w:t xml:space="preserve"> of the Act and s. 1(5.1) of the regulations</w:t>
      </w:r>
      <w:r>
        <w:t>).</w:t>
      </w:r>
      <w:r w:rsidR="00C44283">
        <w:t xml:space="preserve">  For example, paper records should be </w:t>
      </w:r>
      <w:r w:rsidR="00C554B0">
        <w:t xml:space="preserve">cross-cut </w:t>
      </w:r>
      <w:r w:rsidR="00C44283">
        <w:t xml:space="preserve">shredded and electronic </w:t>
      </w:r>
      <w:r w:rsidR="0054730D">
        <w:t>files or hardware</w:t>
      </w:r>
      <w:r w:rsidR="00C44283">
        <w:t xml:space="preserve"> must be deleted or destroyed in a way that the information cannot be recovered. </w:t>
      </w:r>
      <w:r w:rsidR="00C554B0">
        <w:t xml:space="preserve"> </w:t>
      </w:r>
      <w:r w:rsidR="00C554B0" w:rsidRPr="00C554B0">
        <w:t>The practices of external shredding services should be reviewed closely as many complaints have come in to the Information and Privacy Commissioner about failed shredding security (e.g., containers falling off a truck)</w:t>
      </w:r>
      <w:r w:rsidR="00C554B0">
        <w:t xml:space="preserve">. </w:t>
      </w:r>
    </w:p>
    <w:p w14:paraId="1D02B49E" w14:textId="77777777" w:rsidR="00B116DA" w:rsidRDefault="00795EDA" w:rsidP="00795EDA">
      <w:r>
        <w:t xml:space="preserve">Where an individual practitioner dies, the person responsible for the estate of the practitioner is responsible </w:t>
      </w:r>
      <w:r w:rsidR="00A5576D">
        <w:t>for</w:t>
      </w:r>
      <w:r>
        <w:t xml:space="preserve"> comply</w:t>
      </w:r>
      <w:r w:rsidR="00A5576D">
        <w:t>ing</w:t>
      </w:r>
      <w:r>
        <w:t xml:space="preserve"> with PHIPA until he or she is able to transfer the information to another custodian (ss. 3(11) and 3(12)). </w:t>
      </w:r>
    </w:p>
    <w:tbl>
      <w:tblPr>
        <w:tblStyle w:val="TableGrid"/>
        <w:tblW w:w="0" w:type="auto"/>
        <w:tblLook w:val="04A0" w:firstRow="1" w:lastRow="0" w:firstColumn="1" w:lastColumn="0" w:noHBand="0" w:noVBand="1"/>
      </w:tblPr>
      <w:tblGrid>
        <w:gridCol w:w="9350"/>
      </w:tblGrid>
      <w:tr w:rsidR="004F7C21" w14:paraId="7237F98F" w14:textId="77777777" w:rsidTr="004F7C21">
        <w:tc>
          <w:tcPr>
            <w:tcW w:w="9576" w:type="dxa"/>
          </w:tcPr>
          <w:p w14:paraId="0BD7D5F6" w14:textId="77777777" w:rsidR="004F7C21" w:rsidRPr="004F7C21" w:rsidRDefault="004F7C21" w:rsidP="00326E63">
            <w:pPr>
              <w:rPr>
                <w:i/>
              </w:rPr>
            </w:pPr>
            <w:r>
              <w:rPr>
                <w:i/>
              </w:rPr>
              <w:t xml:space="preserve">Determine the minimum period of time your organization will retain records containing personal health information.  </w:t>
            </w:r>
          </w:p>
        </w:tc>
      </w:tr>
    </w:tbl>
    <w:p w14:paraId="686DCFD1" w14:textId="77777777" w:rsidR="004F7C21" w:rsidRDefault="004F7C21" w:rsidP="00795EDA"/>
    <w:p w14:paraId="57CA8248" w14:textId="77777777" w:rsidR="003745FE" w:rsidRDefault="003745FE" w:rsidP="003745FE">
      <w:pPr>
        <w:pStyle w:val="Heading1"/>
      </w:pPr>
      <w:bookmarkStart w:id="18" w:name="_Toc454811787"/>
      <w:r>
        <w:lastRenderedPageBreak/>
        <w:t xml:space="preserve">Step 5 – </w:t>
      </w:r>
      <w:r w:rsidR="004F7C21">
        <w:t xml:space="preserve">Develop Practices Regarding </w:t>
      </w:r>
      <w:r>
        <w:t>Access, Correction</w:t>
      </w:r>
      <w:r w:rsidR="009F24A1">
        <w:t xml:space="preserve"> and</w:t>
      </w:r>
      <w:r>
        <w:t xml:space="preserve"> Complaints</w:t>
      </w:r>
      <w:bookmarkEnd w:id="18"/>
      <w:r>
        <w:t xml:space="preserve"> </w:t>
      </w:r>
    </w:p>
    <w:p w14:paraId="0EF4D994" w14:textId="77777777" w:rsidR="003745FE" w:rsidRDefault="003745FE" w:rsidP="003745FE">
      <w:pPr>
        <w:pStyle w:val="Heading2"/>
      </w:pPr>
      <w:bookmarkStart w:id="19" w:name="_Toc454811788"/>
      <w:r>
        <w:t>(a) Access Rights</w:t>
      </w:r>
      <w:bookmarkEnd w:id="19"/>
    </w:p>
    <w:p w14:paraId="624BB8F0" w14:textId="77777777" w:rsidR="003745FE" w:rsidRDefault="003745FE" w:rsidP="003745FE">
      <w:r>
        <w:t xml:space="preserve">PHIPA provides a broad right of access to the personal health information held by a custodian </w:t>
      </w:r>
      <w:r w:rsidR="00CE5FF4">
        <w:t>about</w:t>
      </w:r>
      <w:r>
        <w:t xml:space="preserve"> an individual. However, PHIPA provides some grounds for refusing such a request including the following:</w:t>
      </w:r>
    </w:p>
    <w:p w14:paraId="0E02B58B" w14:textId="77777777" w:rsidR="003745FE" w:rsidRDefault="003745FE" w:rsidP="003745FE">
      <w:pPr>
        <w:pStyle w:val="ListParagraph"/>
        <w:numPr>
          <w:ilvl w:val="0"/>
          <w:numId w:val="7"/>
        </w:numPr>
      </w:pPr>
      <w:r>
        <w:t>it is quality of care information or information generated for the College’s quality assurance program</w:t>
      </w:r>
      <w:r w:rsidR="00AD43A9">
        <w:t>;</w:t>
      </w:r>
    </w:p>
    <w:p w14:paraId="18FB4D9F" w14:textId="77777777" w:rsidR="003745FE" w:rsidRDefault="00CE5FF4" w:rsidP="003745FE">
      <w:pPr>
        <w:pStyle w:val="ListParagraph"/>
        <w:numPr>
          <w:ilvl w:val="0"/>
          <w:numId w:val="7"/>
        </w:numPr>
      </w:pPr>
      <w:r>
        <w:t xml:space="preserve">it is </w:t>
      </w:r>
      <w:r w:rsidR="003745FE">
        <w:t>raw data from standardized psy</w:t>
      </w:r>
      <w:r w:rsidR="00AD43A9">
        <w:t>chological tests or assessments;</w:t>
      </w:r>
    </w:p>
    <w:p w14:paraId="7BDD821B" w14:textId="77777777" w:rsidR="003745FE" w:rsidRDefault="003745FE" w:rsidP="003745FE">
      <w:pPr>
        <w:pStyle w:val="ListParagraph"/>
        <w:numPr>
          <w:ilvl w:val="0"/>
          <w:numId w:val="7"/>
        </w:numPr>
      </w:pPr>
      <w:r>
        <w:t>there is a risk of serious harm to the treatment or recovery of the individual or of seriou</w:t>
      </w:r>
      <w:r w:rsidR="00AD43A9">
        <w:t>s bodily harm to another person;</w:t>
      </w:r>
      <w:r>
        <w:t xml:space="preserve"> or</w:t>
      </w:r>
    </w:p>
    <w:p w14:paraId="7BD55298" w14:textId="77777777" w:rsidR="003745FE" w:rsidRDefault="003745FE" w:rsidP="003745FE">
      <w:pPr>
        <w:pStyle w:val="ListParagraph"/>
        <w:numPr>
          <w:ilvl w:val="0"/>
          <w:numId w:val="7"/>
        </w:numPr>
      </w:pPr>
      <w:r>
        <w:t>access would reveal the identity of a confidential source of information (s. 51-52).</w:t>
      </w:r>
    </w:p>
    <w:p w14:paraId="41CE9D1C" w14:textId="77777777" w:rsidR="003745FE" w:rsidRDefault="003745FE" w:rsidP="003745FE">
      <w:r>
        <w:t>PHIPA provides procedures for handling access requests including the following:</w:t>
      </w:r>
    </w:p>
    <w:p w14:paraId="2E6E19CF" w14:textId="77777777" w:rsidR="003745FE" w:rsidRDefault="003745FE" w:rsidP="003745FE">
      <w:pPr>
        <w:pStyle w:val="ListParagraph"/>
        <w:numPr>
          <w:ilvl w:val="0"/>
          <w:numId w:val="8"/>
        </w:numPr>
      </w:pPr>
      <w:r>
        <w:t>the custodian must assist the individual in making a m</w:t>
      </w:r>
      <w:r w:rsidR="00AD43A9">
        <w:t>eaningful request, if necessary;</w:t>
      </w:r>
    </w:p>
    <w:p w14:paraId="50E0DD7C" w14:textId="77777777" w:rsidR="003745FE" w:rsidRDefault="003745FE" w:rsidP="003745FE">
      <w:pPr>
        <w:pStyle w:val="ListParagraph"/>
        <w:numPr>
          <w:ilvl w:val="0"/>
          <w:numId w:val="8"/>
        </w:numPr>
      </w:pPr>
      <w:r>
        <w:t>while the custodian can informally provide access, it can also insis</w:t>
      </w:r>
      <w:r w:rsidR="00AD43A9">
        <w:t>t upon a formal written request;</w:t>
      </w:r>
    </w:p>
    <w:p w14:paraId="5D9DBC3B" w14:textId="77777777" w:rsidR="003745FE" w:rsidRDefault="003745FE" w:rsidP="003745FE">
      <w:pPr>
        <w:pStyle w:val="ListParagraph"/>
        <w:numPr>
          <w:ilvl w:val="0"/>
          <w:numId w:val="8"/>
        </w:numPr>
      </w:pPr>
      <w:r>
        <w:t>the custodian should, w</w:t>
      </w:r>
      <w:r w:rsidR="003C53F0">
        <w:t>h</w:t>
      </w:r>
      <w:r>
        <w:t>ere reasonably practical, explain</w:t>
      </w:r>
      <w:r w:rsidR="00AD43A9">
        <w:t xml:space="preserve"> terms, codes and abbreviations;</w:t>
      </w:r>
    </w:p>
    <w:p w14:paraId="074B09A4" w14:textId="77777777" w:rsidR="003745FE" w:rsidRDefault="003745FE" w:rsidP="003745FE">
      <w:pPr>
        <w:pStyle w:val="ListParagraph"/>
        <w:numPr>
          <w:ilvl w:val="0"/>
          <w:numId w:val="8"/>
        </w:numPr>
      </w:pPr>
      <w:r>
        <w:t>the custodian must notify the individual of his or her right to complain to the Information and Privacy Commissioner</w:t>
      </w:r>
      <w:r w:rsidR="00326E63">
        <w:t xml:space="preserve"> of Ontario</w:t>
      </w:r>
      <w:r>
        <w:t xml:space="preserve"> if the request for access is refused (along with the reasons for the refusal) and the burden of justifying </w:t>
      </w:r>
      <w:r w:rsidR="00AD43A9">
        <w:t>the refusal is on the custodian;</w:t>
      </w:r>
    </w:p>
    <w:p w14:paraId="64BD82C3" w14:textId="77777777" w:rsidR="003745FE" w:rsidRDefault="003745FE" w:rsidP="003745FE">
      <w:pPr>
        <w:pStyle w:val="ListParagraph"/>
        <w:numPr>
          <w:ilvl w:val="0"/>
          <w:numId w:val="8"/>
        </w:numPr>
      </w:pPr>
      <w:r>
        <w:t>the custodian can refuse frivolous, vexatious an</w:t>
      </w:r>
      <w:r w:rsidR="00AD43A9">
        <w:t>d bad faith requests for access;</w:t>
      </w:r>
    </w:p>
    <w:p w14:paraId="554E56CB" w14:textId="77777777" w:rsidR="003745FE" w:rsidRDefault="003745FE" w:rsidP="003745FE">
      <w:pPr>
        <w:pStyle w:val="ListParagraph"/>
        <w:numPr>
          <w:ilvl w:val="0"/>
          <w:numId w:val="8"/>
        </w:numPr>
      </w:pPr>
      <w:r>
        <w:t>the custodian must satisfy itself of the identity of the individual bef</w:t>
      </w:r>
      <w:r w:rsidR="00AD43A9">
        <w:t>ore granting him or her access;</w:t>
      </w:r>
    </w:p>
    <w:p w14:paraId="39648F6D" w14:textId="77777777" w:rsidR="007754B6" w:rsidRDefault="007754B6" w:rsidP="003745FE">
      <w:pPr>
        <w:pStyle w:val="ListParagraph"/>
        <w:numPr>
          <w:ilvl w:val="0"/>
          <w:numId w:val="8"/>
        </w:numPr>
      </w:pPr>
      <w:r>
        <w:t>the custodian must provide any personal health information maintained in electronic format to the individual in a specified electronic format to facilitate portability of the information for the individual;</w:t>
      </w:r>
    </w:p>
    <w:p w14:paraId="61DF0EBB" w14:textId="77777777" w:rsidR="00685C9F" w:rsidRDefault="003745FE" w:rsidP="003745FE">
      <w:pPr>
        <w:pStyle w:val="ListParagraph"/>
        <w:numPr>
          <w:ilvl w:val="0"/>
          <w:numId w:val="8"/>
        </w:numPr>
      </w:pPr>
      <w:r>
        <w:t>the custodian can only charge a reasonable cost recovery fee for access and must provide an</w:t>
      </w:r>
      <w:r w:rsidR="00685C9F">
        <w:t xml:space="preserve"> estimate of the fee in advance</w:t>
      </w:r>
      <w:r w:rsidR="00C554B0">
        <w:t xml:space="preserve"> (the Information and Privacy Commissioner has held that a reasonable fee is $30.00 for the first 20 pages and 25 cents for every additional page)</w:t>
      </w:r>
      <w:r w:rsidR="00AD43A9">
        <w:t>;</w:t>
      </w:r>
      <w:r w:rsidR="00685C9F">
        <w:t xml:space="preserve"> and</w:t>
      </w:r>
    </w:p>
    <w:p w14:paraId="4544F65F" w14:textId="77777777" w:rsidR="003745FE" w:rsidRDefault="00685C9F" w:rsidP="003745FE">
      <w:pPr>
        <w:pStyle w:val="ListParagraph"/>
        <w:numPr>
          <w:ilvl w:val="0"/>
          <w:numId w:val="8"/>
        </w:numPr>
      </w:pPr>
      <w:r>
        <w:t xml:space="preserve">the custodian must respond to a request for access as soon as possible and no later than 30 days after receiving the request, but the custodian can extend the time for a response by another 30 days if necessary </w:t>
      </w:r>
      <w:r w:rsidR="003745FE">
        <w:t>(s. 53-54).</w:t>
      </w:r>
    </w:p>
    <w:p w14:paraId="01AC7D92" w14:textId="77777777" w:rsidR="003745FE" w:rsidRDefault="003745FE" w:rsidP="003745FE">
      <w:pPr>
        <w:pStyle w:val="Heading2"/>
      </w:pPr>
      <w:bookmarkStart w:id="20" w:name="_Toc454811789"/>
      <w:r>
        <w:lastRenderedPageBreak/>
        <w:t>(b) Correction Rights</w:t>
      </w:r>
      <w:bookmarkEnd w:id="20"/>
    </w:p>
    <w:p w14:paraId="515A0276" w14:textId="77777777" w:rsidR="003745FE" w:rsidRDefault="003745FE" w:rsidP="003745FE">
      <w:r>
        <w:t>PHIPA provides for a broad right of individuals to correct errors in their records (s. 55). However, PHIPA provides grounds for refusing such requests including the following:</w:t>
      </w:r>
    </w:p>
    <w:p w14:paraId="051D3A19" w14:textId="77777777" w:rsidR="003745FE" w:rsidRDefault="003745FE" w:rsidP="003745FE">
      <w:pPr>
        <w:pStyle w:val="ListParagraph"/>
        <w:numPr>
          <w:ilvl w:val="0"/>
          <w:numId w:val="9"/>
        </w:numPr>
      </w:pPr>
      <w:r>
        <w:t>where the request is frivolous,</w:t>
      </w:r>
      <w:r w:rsidR="00AD43A9">
        <w:t xml:space="preserve"> vexatious or made in bad faith;</w:t>
      </w:r>
    </w:p>
    <w:p w14:paraId="4D4A714D" w14:textId="77777777" w:rsidR="003745FE" w:rsidRDefault="003745FE" w:rsidP="003745FE">
      <w:pPr>
        <w:pStyle w:val="ListParagraph"/>
        <w:numPr>
          <w:ilvl w:val="0"/>
          <w:numId w:val="9"/>
        </w:numPr>
      </w:pPr>
      <w:r>
        <w:t>the custodian did not create the record and the custodian does not have sufficient knowledge, expertise or a</w:t>
      </w:r>
      <w:r w:rsidR="00AD43A9">
        <w:t>uthority to make the correction;</w:t>
      </w:r>
      <w:r>
        <w:t xml:space="preserve"> or</w:t>
      </w:r>
    </w:p>
    <w:p w14:paraId="3BE974DC" w14:textId="77777777" w:rsidR="003745FE" w:rsidRDefault="003745FE" w:rsidP="003745FE">
      <w:pPr>
        <w:pStyle w:val="ListParagraph"/>
        <w:numPr>
          <w:ilvl w:val="0"/>
          <w:numId w:val="9"/>
        </w:numPr>
      </w:pPr>
      <w:r>
        <w:t>the information consists of a professional opinion or observation made in good faith (s.</w:t>
      </w:r>
      <w:r w:rsidR="008C5524">
        <w:t xml:space="preserve"> </w:t>
      </w:r>
      <w:r>
        <w:t>55).</w:t>
      </w:r>
    </w:p>
    <w:p w14:paraId="0634E641" w14:textId="77777777" w:rsidR="003745FE" w:rsidRDefault="003745FE" w:rsidP="003745FE">
      <w:r>
        <w:t>PHIPA provides procedures for handling correction requests including the following:</w:t>
      </w:r>
    </w:p>
    <w:p w14:paraId="36720648" w14:textId="77777777" w:rsidR="003745FE" w:rsidRDefault="003745FE" w:rsidP="00862C96">
      <w:pPr>
        <w:pStyle w:val="ListParagraph"/>
        <w:numPr>
          <w:ilvl w:val="0"/>
          <w:numId w:val="10"/>
        </w:numPr>
      </w:pPr>
      <w:r>
        <w:t>while the custodian can informally make the correction, it can also insis</w:t>
      </w:r>
      <w:r w:rsidR="00AD43A9">
        <w:t>t upon a formal written request;</w:t>
      </w:r>
    </w:p>
    <w:p w14:paraId="4F67DA9D" w14:textId="77777777" w:rsidR="003745FE" w:rsidRDefault="003745FE" w:rsidP="00862C96">
      <w:pPr>
        <w:pStyle w:val="ListParagraph"/>
        <w:numPr>
          <w:ilvl w:val="0"/>
          <w:numId w:val="10"/>
        </w:numPr>
      </w:pPr>
      <w:r>
        <w:t>the correction should not obl</w:t>
      </w:r>
      <w:r w:rsidR="00AD43A9">
        <w:t>iterate the original entry;</w:t>
      </w:r>
      <w:r>
        <w:t xml:space="preserve"> and</w:t>
      </w:r>
    </w:p>
    <w:p w14:paraId="5E3A866F" w14:textId="77777777" w:rsidR="003745FE" w:rsidRDefault="003745FE" w:rsidP="00862C96">
      <w:pPr>
        <w:pStyle w:val="ListParagraph"/>
        <w:numPr>
          <w:ilvl w:val="0"/>
          <w:numId w:val="10"/>
        </w:numPr>
      </w:pPr>
      <w:r>
        <w:t xml:space="preserve">any notice of refusal must advise the individual of his or her right to include a concise statement of disagreement in the record and of his or her right to complain to the Information and Privacy Commissioner </w:t>
      </w:r>
      <w:r w:rsidR="00326E63">
        <w:t xml:space="preserve">of Ontario </w:t>
      </w:r>
      <w:r>
        <w:t>about the refusal (s. 55).</w:t>
      </w:r>
    </w:p>
    <w:p w14:paraId="06444285" w14:textId="77777777" w:rsidR="003745FE" w:rsidRDefault="00685C9F" w:rsidP="00685C9F">
      <w:r>
        <w:t xml:space="preserve">At an individual’s request, custodians must </w:t>
      </w:r>
      <w:r w:rsidR="003745FE">
        <w:t>notify others who have received the incorrect or disputed information.</w:t>
      </w:r>
      <w:r>
        <w:t xml:space="preserve"> However, </w:t>
      </w:r>
      <w:r w:rsidR="003745FE">
        <w:t>the notification need only be made where reasonably possible, and</w:t>
      </w:r>
      <w:r>
        <w:t xml:space="preserve"> </w:t>
      </w:r>
      <w:r w:rsidR="003745FE">
        <w:t>the custodian can refuse to give the notification if the correction cannot reasonably be expected to have an effect on the ongoing provision of health care or some other benefit to the individual</w:t>
      </w:r>
      <w:r w:rsidR="003C53F0">
        <w:t xml:space="preserve"> (ss. 55(10)(c))</w:t>
      </w:r>
      <w:r w:rsidR="003745FE">
        <w:t>.</w:t>
      </w:r>
    </w:p>
    <w:p w14:paraId="03B894E7" w14:textId="77777777" w:rsidR="003745FE" w:rsidRDefault="003745FE" w:rsidP="00862C96">
      <w:pPr>
        <w:pStyle w:val="Heading2"/>
      </w:pPr>
      <w:bookmarkStart w:id="21" w:name="_Toc454811790"/>
      <w:r>
        <w:t>(c) Complaints System</w:t>
      </w:r>
      <w:bookmarkEnd w:id="21"/>
    </w:p>
    <w:p w14:paraId="5B351851" w14:textId="77777777" w:rsidR="00AD0F0D" w:rsidRDefault="003745FE" w:rsidP="003745FE">
      <w:r>
        <w:t>PHIPA does not provide much detail about the nature of the custodian’s internal complaints system</w:t>
      </w:r>
      <w:r w:rsidR="00D608AD">
        <w:t xml:space="preserve"> – i</w:t>
      </w:r>
      <w:r>
        <w:t>t simply has to have one (s. 16).</w:t>
      </w:r>
      <w:r w:rsidR="000A3F3F">
        <w:t xml:space="preserve">  This provides organizations with a great deal of flexibility in terms of how they structure their internal complaints system.  </w:t>
      </w:r>
    </w:p>
    <w:tbl>
      <w:tblPr>
        <w:tblStyle w:val="TableGrid"/>
        <w:tblW w:w="0" w:type="auto"/>
        <w:tblLook w:val="04A0" w:firstRow="1" w:lastRow="0" w:firstColumn="1" w:lastColumn="0" w:noHBand="0" w:noVBand="1"/>
      </w:tblPr>
      <w:tblGrid>
        <w:gridCol w:w="9350"/>
      </w:tblGrid>
      <w:tr w:rsidR="00AD0F0D" w14:paraId="5F630BE9" w14:textId="77777777" w:rsidTr="00AD0F0D">
        <w:tc>
          <w:tcPr>
            <w:tcW w:w="9576" w:type="dxa"/>
          </w:tcPr>
          <w:p w14:paraId="1EF2B052" w14:textId="77777777" w:rsidR="00AD0F0D" w:rsidRPr="00AD0F0D" w:rsidRDefault="00685C9F" w:rsidP="00377229">
            <w:pPr>
              <w:rPr>
                <w:i/>
              </w:rPr>
            </w:pPr>
            <w:r>
              <w:rPr>
                <w:i/>
              </w:rPr>
              <w:t>D</w:t>
            </w:r>
            <w:r w:rsidRPr="00685C9F">
              <w:rPr>
                <w:i/>
              </w:rPr>
              <w:t xml:space="preserve">evelop a process for dealing with </w:t>
            </w:r>
            <w:r>
              <w:rPr>
                <w:i/>
              </w:rPr>
              <w:t xml:space="preserve">internal </w:t>
            </w:r>
            <w:r w:rsidRPr="00685C9F">
              <w:rPr>
                <w:i/>
              </w:rPr>
              <w:t>complaints and determine who will perform each function</w:t>
            </w:r>
            <w:r>
              <w:rPr>
                <w:i/>
              </w:rPr>
              <w:t xml:space="preserve">.  </w:t>
            </w:r>
          </w:p>
        </w:tc>
      </w:tr>
    </w:tbl>
    <w:p w14:paraId="75CCC67A" w14:textId="77777777" w:rsidR="00377229" w:rsidRDefault="00377229" w:rsidP="00377229">
      <w:pPr>
        <w:pStyle w:val="Checklistbullet"/>
        <w:numPr>
          <w:ilvl w:val="0"/>
          <w:numId w:val="0"/>
        </w:numPr>
      </w:pPr>
    </w:p>
    <w:p w14:paraId="4BE7388C" w14:textId="77777777" w:rsidR="000A3F3F" w:rsidRDefault="00377229" w:rsidP="000A3F3F">
      <w:pPr>
        <w:pStyle w:val="Checklistbullet"/>
      </w:pPr>
      <w:r>
        <w:t>D</w:t>
      </w:r>
      <w:r w:rsidR="000A3F3F">
        <w:t xml:space="preserve">esignate the Contact Person as the recipient of </w:t>
      </w:r>
      <w:r>
        <w:t xml:space="preserve">internal </w:t>
      </w:r>
      <w:r w:rsidR="000A3F3F">
        <w:t>complaints about privacy practices</w:t>
      </w:r>
    </w:p>
    <w:p w14:paraId="00712104" w14:textId="77777777" w:rsidR="000A3F3F" w:rsidRDefault="00377229" w:rsidP="000A3F3F">
      <w:pPr>
        <w:pStyle w:val="Checklistbullet"/>
      </w:pPr>
      <w:r>
        <w:t>E</w:t>
      </w:r>
      <w:r w:rsidR="000A3F3F">
        <w:t>nsure staff know where to direct complaints (i.e., to the Contact Person)</w:t>
      </w:r>
    </w:p>
    <w:p w14:paraId="0F0C34E1" w14:textId="77777777" w:rsidR="000A3F3F" w:rsidRDefault="00377229" w:rsidP="000A3F3F">
      <w:pPr>
        <w:pStyle w:val="Checklistbullet"/>
      </w:pPr>
      <w:r>
        <w:t xml:space="preserve">When a complaint is received: </w:t>
      </w:r>
    </w:p>
    <w:p w14:paraId="62554579" w14:textId="77777777" w:rsidR="000A3F3F" w:rsidRDefault="00377229" w:rsidP="000A3F3F">
      <w:pPr>
        <w:pStyle w:val="Checklistbullet"/>
        <w:numPr>
          <w:ilvl w:val="1"/>
          <w:numId w:val="16"/>
        </w:numPr>
      </w:pPr>
      <w:r>
        <w:t>A</w:t>
      </w:r>
      <w:r w:rsidR="000A3F3F">
        <w:t>cknowledg</w:t>
      </w:r>
      <w:r>
        <w:t>e</w:t>
      </w:r>
      <w:r w:rsidR="000A3F3F">
        <w:t xml:space="preserve"> that the complaint has been received</w:t>
      </w:r>
    </w:p>
    <w:p w14:paraId="7C571EF6" w14:textId="77777777" w:rsidR="000A3F3F" w:rsidRDefault="000A3F3F" w:rsidP="000A3F3F">
      <w:pPr>
        <w:pStyle w:val="Checklistbullet"/>
        <w:numPr>
          <w:ilvl w:val="2"/>
          <w:numId w:val="16"/>
        </w:numPr>
      </w:pPr>
      <w:r>
        <w:lastRenderedPageBreak/>
        <w:t>performed by: ______________ (e.g., Contact Person, staff working under Contact person)</w:t>
      </w:r>
    </w:p>
    <w:p w14:paraId="354BD062" w14:textId="77777777" w:rsidR="000A3F3F" w:rsidRDefault="00377229" w:rsidP="000A3F3F">
      <w:pPr>
        <w:pStyle w:val="Checklistbullet"/>
        <w:numPr>
          <w:ilvl w:val="1"/>
          <w:numId w:val="16"/>
        </w:numPr>
      </w:pPr>
      <w:r>
        <w:t>Investigate</w:t>
      </w:r>
      <w:r w:rsidR="000A3F3F">
        <w:t xml:space="preserve"> the complaint (e.</w:t>
      </w:r>
      <w:r w:rsidR="00271AC4">
        <w:t>g., interview persons involved, conduct an audit of electronic systems</w:t>
      </w:r>
      <w:r w:rsidR="000A3F3F">
        <w:t>)</w:t>
      </w:r>
    </w:p>
    <w:p w14:paraId="388613BF" w14:textId="77777777" w:rsidR="000A3F3F" w:rsidRDefault="000A3F3F" w:rsidP="000A3F3F">
      <w:pPr>
        <w:pStyle w:val="Checklistbullet"/>
        <w:numPr>
          <w:ilvl w:val="2"/>
          <w:numId w:val="16"/>
        </w:numPr>
      </w:pPr>
      <w:r>
        <w:t>performed by: ______________</w:t>
      </w:r>
    </w:p>
    <w:p w14:paraId="0AB05F8E" w14:textId="77777777" w:rsidR="000A3F3F" w:rsidRDefault="00377229" w:rsidP="000A3F3F">
      <w:pPr>
        <w:pStyle w:val="Checklistbullet"/>
        <w:numPr>
          <w:ilvl w:val="1"/>
          <w:numId w:val="16"/>
        </w:numPr>
      </w:pPr>
      <w:r>
        <w:t>D</w:t>
      </w:r>
      <w:r w:rsidR="000A3F3F">
        <w:t>etermin</w:t>
      </w:r>
      <w:r>
        <w:t>e</w:t>
      </w:r>
      <w:r w:rsidR="000A3F3F">
        <w:t xml:space="preserve"> what action, if any, will be taken</w:t>
      </w:r>
    </w:p>
    <w:p w14:paraId="2B4E83E8" w14:textId="77777777" w:rsidR="000A3F3F" w:rsidRDefault="000A3F3F" w:rsidP="000A3F3F">
      <w:pPr>
        <w:pStyle w:val="Checklistbullet"/>
        <w:numPr>
          <w:ilvl w:val="2"/>
          <w:numId w:val="16"/>
        </w:numPr>
      </w:pPr>
      <w:r>
        <w:t>performed by: ______________</w:t>
      </w:r>
    </w:p>
    <w:p w14:paraId="7E273365" w14:textId="77777777" w:rsidR="000A3F3F" w:rsidRDefault="00377229" w:rsidP="000A3F3F">
      <w:pPr>
        <w:pStyle w:val="Checklistbullet"/>
        <w:numPr>
          <w:ilvl w:val="1"/>
          <w:numId w:val="16"/>
        </w:numPr>
      </w:pPr>
      <w:r>
        <w:t>P</w:t>
      </w:r>
      <w:r w:rsidR="000A3F3F">
        <w:t>rovid</w:t>
      </w:r>
      <w:r>
        <w:t>e</w:t>
      </w:r>
      <w:r w:rsidR="000A3F3F">
        <w:t xml:space="preserve"> a response to the complainant, including a summary of any action taken</w:t>
      </w:r>
    </w:p>
    <w:p w14:paraId="40EB9AE9" w14:textId="77777777" w:rsidR="000A3F3F" w:rsidRDefault="000A3F3F" w:rsidP="000A3F3F">
      <w:pPr>
        <w:pStyle w:val="Checklistbullet"/>
        <w:numPr>
          <w:ilvl w:val="2"/>
          <w:numId w:val="16"/>
        </w:numPr>
      </w:pPr>
      <w:r>
        <w:t>performed by: ______________</w:t>
      </w:r>
    </w:p>
    <w:p w14:paraId="29A2A1CE" w14:textId="77777777" w:rsidR="000A3F3F" w:rsidRDefault="00377229" w:rsidP="000A3F3F">
      <w:pPr>
        <w:pStyle w:val="Checklistbullet"/>
        <w:numPr>
          <w:ilvl w:val="1"/>
          <w:numId w:val="16"/>
        </w:numPr>
      </w:pPr>
      <w:r>
        <w:t>A</w:t>
      </w:r>
      <w:r w:rsidR="000A3F3F">
        <w:t>dvis</w:t>
      </w:r>
      <w:r>
        <w:t>e</w:t>
      </w:r>
      <w:r w:rsidR="000A3F3F">
        <w:t xml:space="preserve"> the complainant of their right to complain to the Information and Privacy Commissioner of Ontario</w:t>
      </w:r>
    </w:p>
    <w:p w14:paraId="5F262869" w14:textId="77777777" w:rsidR="000A3F3F" w:rsidRDefault="000A3F3F" w:rsidP="000A3F3F">
      <w:pPr>
        <w:pStyle w:val="Checklistbullet"/>
        <w:numPr>
          <w:ilvl w:val="2"/>
          <w:numId w:val="16"/>
        </w:numPr>
      </w:pPr>
      <w:r>
        <w:t>performed by: ______________</w:t>
      </w:r>
    </w:p>
    <w:p w14:paraId="55E93669" w14:textId="77777777" w:rsidR="000A3F3F" w:rsidRDefault="000A3F3F" w:rsidP="000A3F3F">
      <w:pPr>
        <w:pStyle w:val="Checklistbullet"/>
        <w:numPr>
          <w:ilvl w:val="1"/>
          <w:numId w:val="16"/>
        </w:numPr>
      </w:pPr>
      <w:r>
        <w:t>other: _______________________________________________________</w:t>
      </w:r>
    </w:p>
    <w:p w14:paraId="6ED9340E" w14:textId="77777777" w:rsidR="000A3F3F" w:rsidRDefault="000A3F3F" w:rsidP="003745FE"/>
    <w:p w14:paraId="1DAEFC18" w14:textId="77777777" w:rsidR="00377229" w:rsidRDefault="003745FE" w:rsidP="003745FE">
      <w:r>
        <w:t>PHIPA does</w:t>
      </w:r>
      <w:r w:rsidR="000A3F3F">
        <w:t xml:space="preserve"> </w:t>
      </w:r>
      <w:r>
        <w:t xml:space="preserve">provide detailed provisions for an external complaints system </w:t>
      </w:r>
      <w:r w:rsidR="00377229">
        <w:t>led by the</w:t>
      </w:r>
      <w:r>
        <w:t xml:space="preserve"> Information and Privacy Commissioner of Ontario. </w:t>
      </w:r>
      <w:r w:rsidR="00377229">
        <w:t xml:space="preserve"> A person can make a complaint to the Commissioner.  </w:t>
      </w:r>
      <w:r w:rsidR="00AD43A9">
        <w:t>Upon receipt of a complaint, t</w:t>
      </w:r>
      <w:r w:rsidR="00377229">
        <w:t xml:space="preserve">he Commissioner can take no action, try to mediate or resolve </w:t>
      </w:r>
      <w:r w:rsidR="00AD43A9">
        <w:t>the</w:t>
      </w:r>
      <w:r w:rsidR="00377229">
        <w:t xml:space="preserve"> complaint, or decide t</w:t>
      </w:r>
      <w:r w:rsidR="00D811D4">
        <w:t>o</w:t>
      </w:r>
      <w:r w:rsidR="00377229">
        <w:t xml:space="preserve"> review </w:t>
      </w:r>
      <w:r w:rsidR="00AD43A9">
        <w:t>the</w:t>
      </w:r>
      <w:r w:rsidR="00377229">
        <w:t xml:space="preserve"> </w:t>
      </w:r>
      <w:r w:rsidR="00AD43A9">
        <w:t>c</w:t>
      </w:r>
      <w:r w:rsidR="00377229">
        <w:t>omplaint.  When conducting a review, the Commissioner has broad powers</w:t>
      </w:r>
      <w:r w:rsidR="00A678BA">
        <w:t xml:space="preserve"> of inspection or access to the information</w:t>
      </w:r>
      <w:r w:rsidR="00377229">
        <w:t xml:space="preserve">.   </w:t>
      </w:r>
    </w:p>
    <w:p w14:paraId="5D09D3B3" w14:textId="77777777" w:rsidR="003745FE" w:rsidRDefault="00377229" w:rsidP="003745FE">
      <w:r>
        <w:t>After conducting a review, t</w:t>
      </w:r>
      <w:r w:rsidR="003745FE">
        <w:t>he Commissioner can directly issue a compliance order without first having to go to court (s. 61). A copy of any compliance order must be given to the custodian’s regulator (</w:t>
      </w:r>
      <w:r w:rsidR="00326E63">
        <w:t>i.e</w:t>
      </w:r>
      <w:r w:rsidR="003745FE">
        <w:t xml:space="preserve">., the </w:t>
      </w:r>
      <w:r w:rsidR="00D811D4">
        <w:t xml:space="preserve">regulatory </w:t>
      </w:r>
      <w:r w:rsidR="003745FE">
        <w:t>College) (ss. 61(3)). Where an order is made, the individual can sue in court for actual damages</w:t>
      </w:r>
      <w:r w:rsidR="00EA54CF">
        <w:t>, as well as</w:t>
      </w:r>
      <w:r w:rsidR="003745FE">
        <w:t xml:space="preserve"> up to $10,000 </w:t>
      </w:r>
      <w:r w:rsidR="00EA54CF">
        <w:t>for</w:t>
      </w:r>
      <w:r w:rsidR="003745FE">
        <w:t xml:space="preserve"> mental anguish</w:t>
      </w:r>
      <w:r w:rsidR="00EA54CF">
        <w:t xml:space="preserve"> damages</w:t>
      </w:r>
      <w:r w:rsidR="003745FE">
        <w:t xml:space="preserve"> (s. 65).</w:t>
      </w:r>
      <w:r w:rsidR="00AD43A9">
        <w:rPr>
          <w:rStyle w:val="FootnoteReference"/>
        </w:rPr>
        <w:footnoteReference w:id="12"/>
      </w:r>
      <w:r w:rsidR="00AD43A9">
        <w:t xml:space="preserve"> </w:t>
      </w:r>
    </w:p>
    <w:p w14:paraId="5D0B4F98" w14:textId="77777777" w:rsidR="003745FE" w:rsidRDefault="003745FE" w:rsidP="003745FE">
      <w:r>
        <w:t>PHIPA also provides whistle-blowing protections</w:t>
      </w:r>
      <w:r w:rsidR="00862C96">
        <w:t>, as well as</w:t>
      </w:r>
      <w:r>
        <w:t xml:space="preserve"> broad protections for persons who disregard their employer’s or other’s wishes in order to comply with PHIPA (s. 70-72).</w:t>
      </w:r>
      <w:r w:rsidR="00CA0E83">
        <w:t xml:space="preserve"> PHIPA also authorizes the Information and Privacy Commissioner to obtain a production order from a court, without prior notice to the person, to compel production of information helping to prove that an offence was committed under the Act</w:t>
      </w:r>
      <w:r w:rsidR="00070F87">
        <w:t xml:space="preserve"> by another person</w:t>
      </w:r>
      <w:r w:rsidR="00CA0E83">
        <w:t>.</w:t>
      </w:r>
    </w:p>
    <w:p w14:paraId="15F964B2" w14:textId="77777777" w:rsidR="007754B6" w:rsidRDefault="007754B6" w:rsidP="003745FE">
      <w:r>
        <w:t>PHIPA will also enable the Information and Privacy Commissioner to impose administrative monetary penalties, analogous to parking tickets, except that the amount of the monetary penalty will likely be much higher. The custodian or other non-compliant person can challenge the penalty but it will often not be economically worthwhile to do so.</w:t>
      </w:r>
    </w:p>
    <w:p w14:paraId="1B98B86A" w14:textId="77777777" w:rsidR="003745FE" w:rsidRDefault="003745FE" w:rsidP="003745FE">
      <w:r>
        <w:lastRenderedPageBreak/>
        <w:t>PHIPA also creates many offences for deliberately breaching the Act (s. 72). For example, wilfully collecting, using</w:t>
      </w:r>
      <w:r w:rsidR="00B12BA8">
        <w:t xml:space="preserve"> (which includes viewing)</w:t>
      </w:r>
      <w:r>
        <w:t xml:space="preserve"> or disclosing personal health information contrary to the Act is an offence. So is the </w:t>
      </w:r>
      <w:r w:rsidR="000A3F3F">
        <w:t xml:space="preserve">deliberate </w:t>
      </w:r>
      <w:r>
        <w:t xml:space="preserve">disposal of such information </w:t>
      </w:r>
      <w:r w:rsidR="000A3F3F">
        <w:t xml:space="preserve">in an insecure manner </w:t>
      </w:r>
      <w:r>
        <w:t xml:space="preserve">(e.g., throwing documents in the blue box without first shredding </w:t>
      </w:r>
      <w:r w:rsidR="00D811D4">
        <w:t>them</w:t>
      </w:r>
      <w:r>
        <w:t>).</w:t>
      </w:r>
      <w:r w:rsidR="00EA54CF">
        <w:t xml:space="preserve">  An individual </w:t>
      </w:r>
      <w:r w:rsidR="00D811D4">
        <w:t>who</w:t>
      </w:r>
      <w:r w:rsidR="00EA54CF">
        <w:t xml:space="preserve"> is found guilty of an offence can face a fine of up to $</w:t>
      </w:r>
      <w:r w:rsidR="007754B6">
        <w:t>2</w:t>
      </w:r>
      <w:r w:rsidR="00B12BA8">
        <w:t>0</w:t>
      </w:r>
      <w:r w:rsidR="00EA54CF">
        <w:t xml:space="preserve">0,000 and an organization can face a fine of up </w:t>
      </w:r>
      <w:r w:rsidR="00B12BA8">
        <w:t xml:space="preserve">to </w:t>
      </w:r>
      <w:r w:rsidR="00EA54CF">
        <w:t>$</w:t>
      </w:r>
      <w:r w:rsidR="007754B6">
        <w:t>1,0</w:t>
      </w:r>
      <w:r w:rsidR="00B12BA8">
        <w:t>0</w:t>
      </w:r>
      <w:r w:rsidR="00CA2712">
        <w:t xml:space="preserve">0,000.  An individual can also be imprisoned for up to one year upon conviction of an offence. </w:t>
      </w:r>
    </w:p>
    <w:p w14:paraId="4CE77361" w14:textId="77777777" w:rsidR="00E65EFD" w:rsidRDefault="00E65EFD" w:rsidP="009F17D9">
      <w:pPr>
        <w:pStyle w:val="Heading1"/>
      </w:pPr>
      <w:bookmarkStart w:id="22" w:name="_Toc454811791"/>
      <w:r>
        <w:lastRenderedPageBreak/>
        <w:t xml:space="preserve">Step 6 – </w:t>
      </w:r>
      <w:r w:rsidR="00377229">
        <w:t>Establish</w:t>
      </w:r>
      <w:r>
        <w:t xml:space="preserve"> a Privacy Breach Protocol</w:t>
      </w:r>
      <w:bookmarkEnd w:id="22"/>
    </w:p>
    <w:p w14:paraId="664224E8" w14:textId="77777777" w:rsidR="00E65EFD" w:rsidRDefault="00E65EFD" w:rsidP="00E65EFD">
      <w:r>
        <w:t>There is a positive obligation under PHIPA to notify affected individuals of a privacy breach</w:t>
      </w:r>
      <w:r w:rsidR="00FE76DC">
        <w:t xml:space="preserve"> (e.g. the theft, loss or unauthorized </w:t>
      </w:r>
      <w:r w:rsidR="003639B1">
        <w:t>use or disclosure</w:t>
      </w:r>
      <w:r w:rsidR="00FE76DC">
        <w:t xml:space="preserve"> of personal health information)</w:t>
      </w:r>
      <w:r>
        <w:t xml:space="preserve"> (ss. 12(2)).</w:t>
      </w:r>
      <w:r w:rsidR="00FE76DC">
        <w:t xml:space="preserve">  </w:t>
      </w:r>
      <w:r w:rsidR="00A678BA">
        <w:t>C</w:t>
      </w:r>
      <w:r w:rsidR="003639B1">
        <w:t xml:space="preserve">ustodians are also required to notify such individuals of their right to make a complaint to the Information and Privacy Commissioner. </w:t>
      </w:r>
    </w:p>
    <w:p w14:paraId="128EBBDD" w14:textId="77777777" w:rsidR="00FE76DC" w:rsidRDefault="00FE76DC" w:rsidP="00E65EFD">
      <w:r>
        <w:t>While the focus of this Guide has been on preventing such breaches, custodians should develop policies on how to handle breaches if and when they do occur. The Information and Privacy Commissioner of Ontario has developed Guidelines for the Health Care Sector on “What to do When Faced with a Privacy Br</w:t>
      </w:r>
      <w:r w:rsidR="001878B0">
        <w:t>each.”</w:t>
      </w:r>
      <w:r w:rsidR="00377229">
        <w:rPr>
          <w:rStyle w:val="FootnoteReference"/>
        </w:rPr>
        <w:footnoteReference w:id="13"/>
      </w:r>
      <w:r w:rsidR="001878B0">
        <w:t xml:space="preserve">  </w:t>
      </w:r>
      <w:r w:rsidR="00000BCF">
        <w:t xml:space="preserve">The checklist below is based on the Commissioner’s Guidelines. </w:t>
      </w:r>
    </w:p>
    <w:tbl>
      <w:tblPr>
        <w:tblStyle w:val="TableGrid"/>
        <w:tblW w:w="0" w:type="auto"/>
        <w:tblLook w:val="04A0" w:firstRow="1" w:lastRow="0" w:firstColumn="1" w:lastColumn="0" w:noHBand="0" w:noVBand="1"/>
      </w:tblPr>
      <w:tblGrid>
        <w:gridCol w:w="9350"/>
      </w:tblGrid>
      <w:tr w:rsidR="00377229" w14:paraId="41421000" w14:textId="77777777" w:rsidTr="00377229">
        <w:tc>
          <w:tcPr>
            <w:tcW w:w="9576" w:type="dxa"/>
          </w:tcPr>
          <w:p w14:paraId="08C9D020" w14:textId="77777777" w:rsidR="00377229" w:rsidRPr="00377229" w:rsidRDefault="00377229" w:rsidP="00E65EFD">
            <w:pPr>
              <w:rPr>
                <w:i/>
              </w:rPr>
            </w:pPr>
            <w:r>
              <w:rPr>
                <w:i/>
              </w:rPr>
              <w:t>Develop a privacy breach</w:t>
            </w:r>
            <w:r w:rsidR="00000BCF">
              <w:rPr>
                <w:i/>
              </w:rPr>
              <w:t xml:space="preserve"> protocol for your organization, using the following checklist as a guide.</w:t>
            </w:r>
          </w:p>
        </w:tc>
      </w:tr>
    </w:tbl>
    <w:p w14:paraId="1E6CA891" w14:textId="77777777" w:rsidR="00377229" w:rsidRDefault="00377229" w:rsidP="00E65EFD"/>
    <w:p w14:paraId="498B90FA" w14:textId="77777777" w:rsidR="00377229" w:rsidRDefault="00377229" w:rsidP="00E65EFD">
      <w:r>
        <w:t>If a privacy breach is suspected or known to have occurred, take the following action:</w:t>
      </w:r>
    </w:p>
    <w:p w14:paraId="0A45998B" w14:textId="77777777" w:rsidR="001878B0" w:rsidRDefault="001878B0" w:rsidP="001878B0">
      <w:pPr>
        <w:pStyle w:val="Checklistbullet"/>
      </w:pPr>
      <w:r>
        <w:t>Implement the organization’s privacy breach protocol</w:t>
      </w:r>
    </w:p>
    <w:p w14:paraId="2B20315B" w14:textId="02C52102" w:rsidR="001878B0" w:rsidRDefault="001878B0" w:rsidP="001878B0">
      <w:pPr>
        <w:pStyle w:val="Checklistbullet"/>
        <w:numPr>
          <w:ilvl w:val="1"/>
          <w:numId w:val="16"/>
        </w:numPr>
      </w:pPr>
      <w:r>
        <w:t xml:space="preserve">Ensure </w:t>
      </w:r>
      <w:r w:rsidR="00326E63">
        <w:t xml:space="preserve">the </w:t>
      </w:r>
      <w:r>
        <w:t xml:space="preserve">Contact Person and appropriate staff/departments are informed of </w:t>
      </w:r>
      <w:r w:rsidR="00483468">
        <w:t xml:space="preserve">the </w:t>
      </w:r>
      <w:r>
        <w:t>breach</w:t>
      </w:r>
      <w:r w:rsidR="00483468">
        <w:t>.</w:t>
      </w:r>
    </w:p>
    <w:p w14:paraId="0D122AF5" w14:textId="77777777" w:rsidR="00D23E48" w:rsidRDefault="001878B0" w:rsidP="001878B0">
      <w:pPr>
        <w:pStyle w:val="Checklistbullet"/>
        <w:numPr>
          <w:ilvl w:val="1"/>
          <w:numId w:val="16"/>
        </w:numPr>
      </w:pPr>
      <w:r>
        <w:t xml:space="preserve">Consider </w:t>
      </w:r>
      <w:r w:rsidR="0069082D">
        <w:t>whether the Commissioner must or should be notified</w:t>
      </w:r>
      <w:r w:rsidR="00D23E48">
        <w:t>. Section 6.3 of the Regulations specifies circumstances in which the Commissioner should be notified which include deliberate or serious incidents.</w:t>
      </w:r>
      <w:r w:rsidR="00B41125">
        <w:t xml:space="preserve"> </w:t>
      </w:r>
    </w:p>
    <w:p w14:paraId="0D06A3A4" w14:textId="77777777" w:rsidR="001878B0" w:rsidRDefault="00D23E48" w:rsidP="001878B0">
      <w:pPr>
        <w:pStyle w:val="Checklistbullet"/>
        <w:numPr>
          <w:ilvl w:val="1"/>
          <w:numId w:val="16"/>
        </w:numPr>
      </w:pPr>
      <w:r>
        <w:t>In addition, a report must be made annually by custodians as to privacy breaches that occurred during the previous year. To facilitate the making of such a report, a record of all privacy breaches should be maintained.</w:t>
      </w:r>
    </w:p>
    <w:p w14:paraId="52C08B9D" w14:textId="77777777" w:rsidR="001878B0" w:rsidRDefault="001878B0" w:rsidP="001878B0">
      <w:pPr>
        <w:pStyle w:val="Checklistbullet"/>
      </w:pPr>
      <w:r>
        <w:t>Contain the breach</w:t>
      </w:r>
    </w:p>
    <w:p w14:paraId="3FB8F95A" w14:textId="77777777" w:rsidR="001878B0" w:rsidRDefault="001878B0" w:rsidP="001878B0">
      <w:pPr>
        <w:pStyle w:val="Checklistbullet"/>
        <w:numPr>
          <w:ilvl w:val="1"/>
          <w:numId w:val="16"/>
        </w:numPr>
      </w:pPr>
      <w:r>
        <w:t>Retrieve hard copies of personal health information that have been disclosed</w:t>
      </w:r>
    </w:p>
    <w:p w14:paraId="3642BA14" w14:textId="77777777" w:rsidR="001878B0" w:rsidRDefault="001878B0" w:rsidP="001878B0">
      <w:pPr>
        <w:pStyle w:val="Checklistbullet"/>
        <w:numPr>
          <w:ilvl w:val="1"/>
          <w:numId w:val="16"/>
        </w:numPr>
      </w:pPr>
      <w:r>
        <w:t>Ensure no copies have been made</w:t>
      </w:r>
    </w:p>
    <w:p w14:paraId="38E95693" w14:textId="77777777" w:rsidR="001878B0" w:rsidRDefault="001878B0" w:rsidP="001878B0">
      <w:pPr>
        <w:pStyle w:val="Checklistbullet"/>
        <w:numPr>
          <w:ilvl w:val="1"/>
          <w:numId w:val="16"/>
        </w:numPr>
      </w:pPr>
      <w:r>
        <w:t xml:space="preserve">Take steps to prevent unauthorized access to electronic information (e.g., </w:t>
      </w:r>
      <w:r w:rsidR="00271AC4">
        <w:t xml:space="preserve">restrict access, </w:t>
      </w:r>
      <w:r>
        <w:t>change passwords, temporarily shut down system)</w:t>
      </w:r>
    </w:p>
    <w:p w14:paraId="6AAB1FEA" w14:textId="77777777" w:rsidR="001878B0" w:rsidRDefault="001878B0" w:rsidP="001878B0">
      <w:pPr>
        <w:pStyle w:val="Checklistbullet"/>
      </w:pPr>
      <w:r>
        <w:t>Notify affected individuals</w:t>
      </w:r>
    </w:p>
    <w:p w14:paraId="41F43E08" w14:textId="77777777" w:rsidR="001878B0" w:rsidRDefault="001878B0" w:rsidP="001878B0">
      <w:pPr>
        <w:pStyle w:val="Checklistbullet"/>
        <w:numPr>
          <w:ilvl w:val="1"/>
          <w:numId w:val="16"/>
        </w:numPr>
      </w:pPr>
      <w:r>
        <w:lastRenderedPageBreak/>
        <w:t>Consider the most appropriate way to notify affected individuals in light of the sensitivity of the information (e.g., by phone, in writing, at the next appointment)</w:t>
      </w:r>
    </w:p>
    <w:p w14:paraId="51FC9392" w14:textId="77777777" w:rsidR="001878B0" w:rsidRDefault="001878B0" w:rsidP="001878B0">
      <w:pPr>
        <w:pStyle w:val="Checklistbullet"/>
        <w:numPr>
          <w:ilvl w:val="1"/>
          <w:numId w:val="16"/>
        </w:numPr>
      </w:pPr>
      <w:r>
        <w:t xml:space="preserve">Provide </w:t>
      </w:r>
      <w:r w:rsidR="00326E63">
        <w:t xml:space="preserve">the organization’s </w:t>
      </w:r>
      <w:r>
        <w:t>contact information in case the individual has further questions</w:t>
      </w:r>
    </w:p>
    <w:p w14:paraId="61B619A2" w14:textId="77777777" w:rsidR="003639B1" w:rsidRDefault="001878B0" w:rsidP="00B41125">
      <w:pPr>
        <w:pStyle w:val="Checklistbullet"/>
        <w:numPr>
          <w:ilvl w:val="1"/>
          <w:numId w:val="16"/>
        </w:numPr>
      </w:pPr>
      <w:r>
        <w:t>Provide the Commissioner’s contact information</w:t>
      </w:r>
      <w:r w:rsidR="003639B1">
        <w:t xml:space="preserve"> and advise the individual of their right to make a complaint to the Commissioner</w:t>
      </w:r>
      <w:r w:rsidR="00B41125">
        <w:t xml:space="preserve"> (s. 12)</w:t>
      </w:r>
    </w:p>
    <w:p w14:paraId="220254A3" w14:textId="77777777" w:rsidR="001878B0" w:rsidRDefault="001878B0" w:rsidP="001878B0">
      <w:pPr>
        <w:pStyle w:val="Checklistbullet"/>
      </w:pPr>
      <w:r>
        <w:t>Investigate and remediate the problem</w:t>
      </w:r>
    </w:p>
    <w:p w14:paraId="4E75C38F" w14:textId="77777777" w:rsidR="001878B0" w:rsidRDefault="001878B0" w:rsidP="001878B0">
      <w:pPr>
        <w:pStyle w:val="Checklistbullet"/>
        <w:numPr>
          <w:ilvl w:val="1"/>
          <w:numId w:val="16"/>
        </w:numPr>
      </w:pPr>
      <w:r>
        <w:t xml:space="preserve">Conduct an internal investigation </w:t>
      </w:r>
    </w:p>
    <w:p w14:paraId="16DC36B1" w14:textId="77777777" w:rsidR="006A04AA" w:rsidRDefault="006A04AA" w:rsidP="001878B0">
      <w:pPr>
        <w:pStyle w:val="Checklistbullet"/>
        <w:numPr>
          <w:ilvl w:val="1"/>
          <w:numId w:val="16"/>
        </w:numPr>
      </w:pPr>
      <w:r>
        <w:t>Determine what steps should be taken to prevent future breaches (e.g. changes to policies</w:t>
      </w:r>
      <w:r w:rsidR="00326E63">
        <w:t>, additional safeguards required</w:t>
      </w:r>
      <w:r>
        <w:t>)</w:t>
      </w:r>
    </w:p>
    <w:p w14:paraId="192AF3CD" w14:textId="77777777" w:rsidR="006A04AA" w:rsidRDefault="006A04AA" w:rsidP="001878B0">
      <w:pPr>
        <w:pStyle w:val="Checklistbullet"/>
        <w:numPr>
          <w:ilvl w:val="1"/>
          <w:numId w:val="16"/>
        </w:numPr>
      </w:pPr>
      <w:r>
        <w:t>Consider advising the Commissioner of the results of your investigation</w:t>
      </w:r>
    </w:p>
    <w:p w14:paraId="1FD7CE99" w14:textId="5F8FEFF0" w:rsidR="00271AC4" w:rsidRDefault="00271AC4" w:rsidP="001878B0">
      <w:pPr>
        <w:pStyle w:val="Checklistbullet"/>
        <w:numPr>
          <w:ilvl w:val="1"/>
          <w:numId w:val="16"/>
        </w:numPr>
      </w:pPr>
      <w:r>
        <w:t>Report the results of</w:t>
      </w:r>
      <w:r w:rsidR="00483468">
        <w:t xml:space="preserve"> the</w:t>
      </w:r>
      <w:r>
        <w:t xml:space="preserve"> investigation to the relevant regulatory College if appropriate</w:t>
      </w:r>
      <w:r w:rsidR="00200B11">
        <w:t xml:space="preserve"> or required (PHIPA requires custodians to report certain events to the relevant regulatory College, including when a member is suspended, terminated or otherwise discipline</w:t>
      </w:r>
      <w:r w:rsidR="00B41125">
        <w:t>d</w:t>
      </w:r>
      <w:r w:rsidR="00200B11">
        <w:t xml:space="preserve"> or has had their privileges or business affiliation revoked or restricted as a result of a privacy breach: s. 17.1</w:t>
      </w:r>
      <w:r w:rsidR="0069082D">
        <w:t xml:space="preserve">. The organization may also be required to report the circumstances to a regulatory College under the </w:t>
      </w:r>
      <w:r w:rsidR="0069082D">
        <w:rPr>
          <w:i/>
        </w:rPr>
        <w:t xml:space="preserve">Regulated Health Professions Act, 1991 </w:t>
      </w:r>
      <w:r w:rsidR="0069082D">
        <w:t>in cases of professional misconduct, incompetence or incapacity</w:t>
      </w:r>
      <w:r w:rsidR="0069082D">
        <w:rPr>
          <w:i/>
        </w:rPr>
        <w:t>.</w:t>
      </w:r>
      <w:r w:rsidR="00200B11">
        <w:t>)</w:t>
      </w:r>
    </w:p>
    <w:p w14:paraId="351D963B" w14:textId="77777777" w:rsidR="00E65EFD" w:rsidRPr="00E65EFD" w:rsidRDefault="006A04AA" w:rsidP="00E65EFD">
      <w:pPr>
        <w:pStyle w:val="Checklistbullet"/>
        <w:numPr>
          <w:ilvl w:val="1"/>
          <w:numId w:val="16"/>
        </w:numPr>
      </w:pPr>
      <w:r>
        <w:t xml:space="preserve">Ensure staff </w:t>
      </w:r>
      <w:r w:rsidR="002C6FEB">
        <w:t>is</w:t>
      </w:r>
      <w:r>
        <w:t xml:space="preserve"> appropriately trained and conduct further training if required</w:t>
      </w:r>
      <w:r w:rsidR="00D23E48">
        <w:t>.</w:t>
      </w:r>
    </w:p>
    <w:p w14:paraId="4B191652" w14:textId="77777777" w:rsidR="009F17D9" w:rsidRDefault="00E65EFD" w:rsidP="009F17D9">
      <w:pPr>
        <w:pStyle w:val="Heading1"/>
      </w:pPr>
      <w:bookmarkStart w:id="23" w:name="_Toc454811792"/>
      <w:r>
        <w:lastRenderedPageBreak/>
        <w:t>Step 7</w:t>
      </w:r>
      <w:r w:rsidR="009F17D9">
        <w:t xml:space="preserve"> – Implement Your Privacy Plan</w:t>
      </w:r>
      <w:bookmarkEnd w:id="23"/>
    </w:p>
    <w:p w14:paraId="1C7A2D2B" w14:textId="77777777" w:rsidR="009F17D9" w:rsidRDefault="009F17D9" w:rsidP="009F17D9">
      <w:pPr>
        <w:rPr>
          <w:b/>
        </w:rPr>
      </w:pPr>
      <w:r w:rsidRPr="009F17D9">
        <w:t xml:space="preserve">Implementing your Privacy Policy will have two stages. The first stage will be to complete your review of how you handle personal information and to prepare and roll out your Privacy Policy. The second stage is to periodically monitor, review and update your Privacy Policy. During your first year, the monitoring, review and updating should be fairly frequent as issues arise. However, after that, you </w:t>
      </w:r>
      <w:r w:rsidR="00D811D4">
        <w:t xml:space="preserve">still </w:t>
      </w:r>
      <w:r w:rsidRPr="009F17D9">
        <w:t xml:space="preserve">must regularly review things. The Information and Privacy Commissioner </w:t>
      </w:r>
      <w:r w:rsidR="004E7A80">
        <w:t xml:space="preserve">of Ontario </w:t>
      </w:r>
      <w:r w:rsidRPr="009F17D9">
        <w:t xml:space="preserve">has criticized organizations for having a policy in writing that does not reflect what is actually happening. </w:t>
      </w:r>
      <w:r w:rsidR="00000BCF">
        <w:t xml:space="preserve"> </w:t>
      </w:r>
      <w:r w:rsidRPr="009F17D9">
        <w:t>At a minimum, a specific date should be set each year (e.g., July) to monitor, review and update the Privacy Policy. That annual review should be documented in case the Information and Privacy Commissioner comes calling.</w:t>
      </w:r>
      <w:r>
        <w:t xml:space="preserve"> </w:t>
      </w:r>
    </w:p>
    <w:tbl>
      <w:tblPr>
        <w:tblStyle w:val="TableGrid"/>
        <w:tblW w:w="0" w:type="auto"/>
        <w:tblLook w:val="04A0" w:firstRow="1" w:lastRow="0" w:firstColumn="1" w:lastColumn="0" w:noHBand="0" w:noVBand="1"/>
      </w:tblPr>
      <w:tblGrid>
        <w:gridCol w:w="9350"/>
      </w:tblGrid>
      <w:tr w:rsidR="00AD0F0D" w14:paraId="6F078472" w14:textId="77777777" w:rsidTr="00AD0F0D">
        <w:tc>
          <w:tcPr>
            <w:tcW w:w="9576" w:type="dxa"/>
          </w:tcPr>
          <w:p w14:paraId="16239B3F" w14:textId="77777777" w:rsidR="00AD0F0D" w:rsidRPr="00AD0F0D" w:rsidRDefault="00AD0F0D" w:rsidP="009F17D9">
            <w:pPr>
              <w:rPr>
                <w:i/>
              </w:rPr>
            </w:pPr>
            <w:r w:rsidRPr="00AD0F0D">
              <w:rPr>
                <w:i/>
              </w:rPr>
              <w:t>Use the following checklist to track the implementation of your organization’s privacy plan.</w:t>
            </w:r>
          </w:p>
        </w:tc>
      </w:tr>
    </w:tbl>
    <w:p w14:paraId="0E70EAF9" w14:textId="77777777" w:rsidR="00AD0F0D" w:rsidRPr="009F17D9" w:rsidRDefault="00AD0F0D" w:rsidP="009F17D9">
      <w:pPr>
        <w:rPr>
          <w:b/>
        </w:rPr>
      </w:pPr>
    </w:p>
    <w:p w14:paraId="1CF3191E" w14:textId="77777777" w:rsidR="00AD0F0D" w:rsidRPr="008E42B8" w:rsidRDefault="00AD0F0D" w:rsidP="00AD0F0D">
      <w:pPr>
        <w:rPr>
          <w:i/>
        </w:rPr>
      </w:pPr>
      <w:r w:rsidRPr="008E42B8">
        <w:rPr>
          <w:i/>
        </w:rPr>
        <w:t>Initial</w:t>
      </w:r>
      <w:r w:rsidR="00000BCF">
        <w:rPr>
          <w:i/>
        </w:rPr>
        <w:t xml:space="preserve"> Implementation</w:t>
      </w:r>
    </w:p>
    <w:p w14:paraId="35175264" w14:textId="77777777" w:rsidR="00AD0F0D" w:rsidRPr="008E42B8" w:rsidRDefault="008E42B8" w:rsidP="008E42B8">
      <w:pPr>
        <w:pStyle w:val="Checklistbullet"/>
      </w:pPr>
      <w:r>
        <w:t>Written public statement (Form 1) completed and posted publicly</w:t>
      </w:r>
    </w:p>
    <w:p w14:paraId="5AC08C89" w14:textId="77777777" w:rsidR="00AD0F0D" w:rsidRDefault="00AD0F0D" w:rsidP="008E42B8">
      <w:pPr>
        <w:pStyle w:val="Checklistbullet"/>
      </w:pPr>
      <w:r w:rsidRPr="008E42B8">
        <w:t>Privacy Policy document (Form 2) prepared</w:t>
      </w:r>
    </w:p>
    <w:p w14:paraId="27DC452E" w14:textId="77777777" w:rsidR="00000BCF" w:rsidRPr="008E42B8" w:rsidRDefault="00000BCF" w:rsidP="00000BCF">
      <w:pPr>
        <w:pStyle w:val="Checklistbullet"/>
      </w:pPr>
      <w:r w:rsidRPr="008E42B8">
        <w:t xml:space="preserve">Consent form </w:t>
      </w:r>
      <w:r>
        <w:t>(Form 3)</w:t>
      </w:r>
      <w:r w:rsidR="008104F1" w:rsidRPr="008104F1">
        <w:t xml:space="preserve"> </w:t>
      </w:r>
      <w:r w:rsidR="008104F1" w:rsidRPr="008E42B8">
        <w:t>prepared</w:t>
      </w:r>
    </w:p>
    <w:p w14:paraId="4856AE48" w14:textId="77777777" w:rsidR="00AD0F0D" w:rsidRPr="008E42B8" w:rsidRDefault="00AD0F0D" w:rsidP="008E42B8">
      <w:pPr>
        <w:pStyle w:val="Checklistbullet"/>
      </w:pPr>
      <w:r w:rsidRPr="008E42B8">
        <w:t>Initial staff training completed</w:t>
      </w:r>
    </w:p>
    <w:p w14:paraId="4068DF51" w14:textId="77777777" w:rsidR="00AD0F0D" w:rsidRPr="008E42B8" w:rsidRDefault="00000BCF" w:rsidP="008E42B8">
      <w:pPr>
        <w:pStyle w:val="Checklistbullet"/>
      </w:pPr>
      <w:r>
        <w:t xml:space="preserve">Administrative, physical and technical safeguards implemented, including </w:t>
      </w:r>
      <w:r w:rsidR="008104F1">
        <w:t xml:space="preserve">signed </w:t>
      </w:r>
      <w:r>
        <w:t>c</w:t>
      </w:r>
      <w:r w:rsidR="00AD0F0D" w:rsidRPr="008E42B8">
        <w:t xml:space="preserve">ontracts with external consultants and outsourcing providers </w:t>
      </w:r>
    </w:p>
    <w:p w14:paraId="124BF421" w14:textId="77777777" w:rsidR="00AD0F0D" w:rsidRPr="008E42B8" w:rsidRDefault="00AD0F0D" w:rsidP="00AD0F0D">
      <w:pPr>
        <w:rPr>
          <w:i/>
        </w:rPr>
      </w:pPr>
      <w:r w:rsidRPr="008E42B8">
        <w:rPr>
          <w:i/>
        </w:rPr>
        <w:t>Ongoing</w:t>
      </w:r>
      <w:r w:rsidR="00000BCF">
        <w:rPr>
          <w:i/>
        </w:rPr>
        <w:t xml:space="preserve"> Review</w:t>
      </w:r>
    </w:p>
    <w:p w14:paraId="06E15754" w14:textId="77777777" w:rsidR="00AD0F0D" w:rsidRPr="008E42B8" w:rsidRDefault="00AD0F0D" w:rsidP="008E42B8">
      <w:pPr>
        <w:pStyle w:val="Checklistbullet"/>
      </w:pPr>
      <w:r w:rsidRPr="008E42B8">
        <w:t>Monitoring compliance with Privacy Policy document (prepare a report annually)</w:t>
      </w:r>
    </w:p>
    <w:p w14:paraId="0DDFF3FB" w14:textId="77777777" w:rsidR="00AD0F0D" w:rsidRPr="008E42B8" w:rsidRDefault="00AD0F0D" w:rsidP="008E42B8">
      <w:pPr>
        <w:pStyle w:val="Checklistbullet"/>
      </w:pPr>
      <w:r w:rsidRPr="008E42B8">
        <w:t>External information technology audit (annual)</w:t>
      </w:r>
    </w:p>
    <w:p w14:paraId="639F9C14" w14:textId="77777777" w:rsidR="00AD0F0D" w:rsidRDefault="00AD0F0D" w:rsidP="008E42B8">
      <w:pPr>
        <w:pStyle w:val="Checklistbullet"/>
      </w:pPr>
      <w:r w:rsidRPr="008E42B8">
        <w:t>Refresher training session for all staff (annual)</w:t>
      </w:r>
    </w:p>
    <w:p w14:paraId="7D33986F" w14:textId="77777777" w:rsidR="00000BCF" w:rsidRPr="008E42B8" w:rsidRDefault="00000BCF" w:rsidP="008E42B8">
      <w:pPr>
        <w:pStyle w:val="Checklistbullet"/>
      </w:pPr>
      <w:r>
        <w:t>Training for new staff provided as needed</w:t>
      </w:r>
    </w:p>
    <w:p w14:paraId="3F6BCD1D" w14:textId="77777777" w:rsidR="000B5ACC" w:rsidRDefault="00AD0F0D" w:rsidP="008E42B8">
      <w:pPr>
        <w:pStyle w:val="Checklistbullet"/>
        <w:rPr>
          <w:b/>
        </w:rPr>
      </w:pPr>
      <w:r w:rsidRPr="008E42B8">
        <w:t>Review and update of Privacy Policy document (annual)</w:t>
      </w:r>
      <w:r w:rsidR="000B5ACC">
        <w:rPr>
          <w:b/>
        </w:rPr>
        <w:br w:type="page"/>
      </w:r>
    </w:p>
    <w:p w14:paraId="25A8B5DE" w14:textId="77777777" w:rsidR="00CC13B1" w:rsidRDefault="007A3C28" w:rsidP="007A3C28">
      <w:pPr>
        <w:pStyle w:val="Heading1"/>
      </w:pPr>
      <w:bookmarkStart w:id="24" w:name="_Toc454811793"/>
      <w:r>
        <w:lastRenderedPageBreak/>
        <w:t xml:space="preserve">Form 1: </w:t>
      </w:r>
      <w:r w:rsidR="000B5ACC">
        <w:t>Sample Written Public Statement (s. 16)</w:t>
      </w:r>
      <w:bookmarkEnd w:id="24"/>
    </w:p>
    <w:tbl>
      <w:tblPr>
        <w:tblStyle w:val="TableGrid"/>
        <w:tblW w:w="0" w:type="auto"/>
        <w:jc w:val="center"/>
        <w:tblLook w:val="04A0" w:firstRow="1" w:lastRow="0" w:firstColumn="1" w:lastColumn="0" w:noHBand="0" w:noVBand="1"/>
      </w:tblPr>
      <w:tblGrid>
        <w:gridCol w:w="9350"/>
      </w:tblGrid>
      <w:tr w:rsidR="00AF7407" w14:paraId="77F19FBB" w14:textId="77777777" w:rsidTr="00AF7407">
        <w:trPr>
          <w:jc w:val="center"/>
        </w:trPr>
        <w:tc>
          <w:tcPr>
            <w:tcW w:w="9576" w:type="dxa"/>
            <w:vAlign w:val="center"/>
          </w:tcPr>
          <w:p w14:paraId="5455C171" w14:textId="77777777" w:rsidR="00AF7407" w:rsidRDefault="00AF7407" w:rsidP="00AF7407">
            <w:pPr>
              <w:rPr>
                <w:i/>
              </w:rPr>
            </w:pPr>
            <w:r>
              <w:rPr>
                <w:i/>
              </w:rPr>
              <w:t xml:space="preserve">This sample written public statement should be modified to fit your organization’s needs. In particular, you may need to modify the types of personal health information that are collected or the purposes for which that information is collected. </w:t>
            </w:r>
          </w:p>
          <w:p w14:paraId="78EAE3F0" w14:textId="77777777" w:rsidR="00C24078" w:rsidRDefault="00C24078" w:rsidP="00AF7407">
            <w:pPr>
              <w:rPr>
                <w:i/>
              </w:rPr>
            </w:pPr>
          </w:p>
          <w:p w14:paraId="663770DC" w14:textId="77777777" w:rsidR="00C24078" w:rsidRDefault="005D7FE6" w:rsidP="009E16F1">
            <w:r>
              <w:rPr>
                <w:i/>
              </w:rPr>
              <w:t xml:space="preserve">The statement may be </w:t>
            </w:r>
            <w:r w:rsidR="009E16F1">
              <w:rPr>
                <w:i/>
              </w:rPr>
              <w:t>printed</w:t>
            </w:r>
            <w:r>
              <w:rPr>
                <w:i/>
              </w:rPr>
              <w:t xml:space="preserve"> </w:t>
            </w:r>
            <w:r w:rsidR="009E16F1">
              <w:rPr>
                <w:i/>
              </w:rPr>
              <w:t xml:space="preserve">as </w:t>
            </w:r>
            <w:r>
              <w:rPr>
                <w:i/>
              </w:rPr>
              <w:t xml:space="preserve">a poster or brochure and should </w:t>
            </w:r>
            <w:r w:rsidR="008E42B8">
              <w:rPr>
                <w:i/>
              </w:rPr>
              <w:t xml:space="preserve">be </w:t>
            </w:r>
            <w:r>
              <w:rPr>
                <w:i/>
              </w:rPr>
              <w:t xml:space="preserve">posted or placed </w:t>
            </w:r>
            <w:r w:rsidR="00C24078">
              <w:rPr>
                <w:i/>
              </w:rPr>
              <w:t xml:space="preserve">somewhere in your office where it is likely to come to your clients’ attention (such as near the reception desk or waiting area) and may also be given to clients when they come under your care. </w:t>
            </w:r>
            <w:r w:rsidR="00D23E48">
              <w:rPr>
                <w:i/>
              </w:rPr>
              <w:t>It should also be on your website.</w:t>
            </w:r>
          </w:p>
        </w:tc>
      </w:tr>
    </w:tbl>
    <w:p w14:paraId="0B89B3C9" w14:textId="77777777" w:rsidR="000B5ACC" w:rsidRPr="00216018" w:rsidRDefault="009E16F1" w:rsidP="009F17D9">
      <w:pPr>
        <w:rPr>
          <w:sz w:val="22"/>
        </w:rPr>
      </w:pPr>
      <w:r>
        <w:rPr>
          <w:b/>
          <w:sz w:val="22"/>
        </w:rPr>
        <w:br/>
      </w:r>
      <w:r w:rsidR="000B5ACC" w:rsidRPr="00216018">
        <w:rPr>
          <w:b/>
          <w:sz w:val="22"/>
        </w:rPr>
        <w:t>Our Privacy Commitment to You</w:t>
      </w:r>
    </w:p>
    <w:p w14:paraId="3CC2DA65" w14:textId="77777777" w:rsidR="00452F3E" w:rsidRPr="00216018" w:rsidRDefault="000B5ACC" w:rsidP="009F17D9">
      <w:pPr>
        <w:rPr>
          <w:sz w:val="22"/>
        </w:rPr>
      </w:pPr>
      <w:r w:rsidRPr="00216018">
        <w:rPr>
          <w:sz w:val="22"/>
        </w:rPr>
        <w:t xml:space="preserve">We are committed to protecting your privacy and ensuring the confidentiality of </w:t>
      </w:r>
      <w:r w:rsidR="00216018">
        <w:rPr>
          <w:sz w:val="22"/>
        </w:rPr>
        <w:t>your</w:t>
      </w:r>
      <w:r w:rsidRPr="00216018">
        <w:rPr>
          <w:sz w:val="22"/>
        </w:rPr>
        <w:t xml:space="preserve"> personal health information.  </w:t>
      </w:r>
      <w:r w:rsidR="00F244C0" w:rsidRPr="00216018">
        <w:rPr>
          <w:sz w:val="22"/>
        </w:rPr>
        <w:t xml:space="preserve">The types of personal health information we collect may include </w:t>
      </w:r>
      <w:r w:rsidR="00216018">
        <w:rPr>
          <w:sz w:val="22"/>
        </w:rPr>
        <w:t>your</w:t>
      </w:r>
      <w:r w:rsidR="00F244C0" w:rsidRPr="00216018">
        <w:rPr>
          <w:sz w:val="22"/>
        </w:rPr>
        <w:t xml:space="preserve"> name, date of birth, health history, OHIP number and rec</w:t>
      </w:r>
      <w:r w:rsidR="00C24078" w:rsidRPr="00216018">
        <w:rPr>
          <w:sz w:val="22"/>
        </w:rPr>
        <w:t>ords of the care provided</w:t>
      </w:r>
      <w:r w:rsidR="00216018">
        <w:rPr>
          <w:sz w:val="22"/>
        </w:rPr>
        <w:t xml:space="preserve"> to you</w:t>
      </w:r>
      <w:r w:rsidR="00F244C0" w:rsidRPr="00216018">
        <w:rPr>
          <w:sz w:val="22"/>
        </w:rPr>
        <w:t xml:space="preserve">.  </w:t>
      </w:r>
      <w:r w:rsidR="00452F3E" w:rsidRPr="00216018">
        <w:rPr>
          <w:sz w:val="22"/>
        </w:rPr>
        <w:t xml:space="preserve">We collect, use and disclose personal </w:t>
      </w:r>
      <w:r w:rsidR="00C24078" w:rsidRPr="00216018">
        <w:rPr>
          <w:sz w:val="22"/>
        </w:rPr>
        <w:t xml:space="preserve">health </w:t>
      </w:r>
      <w:r w:rsidR="00452F3E" w:rsidRPr="00216018">
        <w:rPr>
          <w:sz w:val="22"/>
        </w:rPr>
        <w:t>information for the following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452F3E" w:rsidRPr="00216018" w14:paraId="1F277584" w14:textId="77777777" w:rsidTr="00B72921">
        <w:tc>
          <w:tcPr>
            <w:tcW w:w="4788" w:type="dxa"/>
          </w:tcPr>
          <w:p w14:paraId="1A412D42" w14:textId="77777777" w:rsidR="00452F3E" w:rsidRPr="004E7A80" w:rsidRDefault="00C24078" w:rsidP="00AF7407">
            <w:pPr>
              <w:pStyle w:val="ListParagraph"/>
              <w:numPr>
                <w:ilvl w:val="0"/>
                <w:numId w:val="13"/>
              </w:numPr>
              <w:rPr>
                <w:sz w:val="22"/>
              </w:rPr>
            </w:pPr>
            <w:r w:rsidRPr="004E7A80">
              <w:rPr>
                <w:sz w:val="22"/>
              </w:rPr>
              <w:t>to provide [type of health service or therapy] to our clients</w:t>
            </w:r>
          </w:p>
        </w:tc>
        <w:tc>
          <w:tcPr>
            <w:tcW w:w="4788" w:type="dxa"/>
          </w:tcPr>
          <w:p w14:paraId="51720B47" w14:textId="77777777" w:rsidR="00452F3E" w:rsidRPr="004E7A80" w:rsidRDefault="00C24078" w:rsidP="00C07ED7">
            <w:pPr>
              <w:pStyle w:val="ListParagraph"/>
              <w:numPr>
                <w:ilvl w:val="0"/>
                <w:numId w:val="13"/>
              </w:numPr>
              <w:rPr>
                <w:sz w:val="22"/>
              </w:rPr>
            </w:pPr>
            <w:r w:rsidRPr="004E7A80">
              <w:rPr>
                <w:sz w:val="22"/>
              </w:rPr>
              <w:t xml:space="preserve">to conduct quality </w:t>
            </w:r>
            <w:r w:rsidR="00C07ED7" w:rsidRPr="004E7A80">
              <w:rPr>
                <w:sz w:val="22"/>
              </w:rPr>
              <w:t>improvement</w:t>
            </w:r>
            <w:r w:rsidRPr="004E7A80">
              <w:rPr>
                <w:sz w:val="22"/>
              </w:rPr>
              <w:t xml:space="preserve"> </w:t>
            </w:r>
            <w:r w:rsidR="00F451E3" w:rsidRPr="004E7A80">
              <w:rPr>
                <w:sz w:val="22"/>
              </w:rPr>
              <w:t xml:space="preserve">and risk management </w:t>
            </w:r>
            <w:r w:rsidRPr="004E7A80">
              <w:rPr>
                <w:sz w:val="22"/>
              </w:rPr>
              <w:t>activities</w:t>
            </w:r>
          </w:p>
        </w:tc>
      </w:tr>
      <w:tr w:rsidR="00452F3E" w:rsidRPr="00216018" w14:paraId="63857780" w14:textId="77777777" w:rsidTr="00B72921">
        <w:tc>
          <w:tcPr>
            <w:tcW w:w="4788" w:type="dxa"/>
          </w:tcPr>
          <w:p w14:paraId="47D410CF" w14:textId="77777777" w:rsidR="00452F3E" w:rsidRPr="004E7A80" w:rsidRDefault="00C24078" w:rsidP="00F244C0">
            <w:pPr>
              <w:pStyle w:val="ListParagraph"/>
              <w:numPr>
                <w:ilvl w:val="0"/>
                <w:numId w:val="13"/>
              </w:numPr>
              <w:rPr>
                <w:sz w:val="22"/>
              </w:rPr>
            </w:pPr>
            <w:r w:rsidRPr="004E7A80">
              <w:rPr>
                <w:sz w:val="22"/>
              </w:rPr>
              <w:t>to obtain payment for services provided (from you, OHIP, WSIB, your private insurer or others)</w:t>
            </w:r>
          </w:p>
        </w:tc>
        <w:tc>
          <w:tcPr>
            <w:tcW w:w="4788" w:type="dxa"/>
          </w:tcPr>
          <w:p w14:paraId="2D95B675" w14:textId="77777777" w:rsidR="00452F3E" w:rsidRPr="004E7A80" w:rsidRDefault="00452F3E" w:rsidP="00452F3E">
            <w:pPr>
              <w:pStyle w:val="ListParagraph"/>
              <w:numPr>
                <w:ilvl w:val="0"/>
                <w:numId w:val="13"/>
              </w:numPr>
              <w:rPr>
                <w:sz w:val="22"/>
              </w:rPr>
            </w:pPr>
            <w:r w:rsidRPr="004E7A80">
              <w:rPr>
                <w:sz w:val="22"/>
              </w:rPr>
              <w:t>to comply with our regulatory obligations to [name of College]</w:t>
            </w:r>
          </w:p>
        </w:tc>
      </w:tr>
      <w:tr w:rsidR="00452F3E" w:rsidRPr="00216018" w14:paraId="77688564" w14:textId="77777777" w:rsidTr="00B72921">
        <w:tc>
          <w:tcPr>
            <w:tcW w:w="4788" w:type="dxa"/>
          </w:tcPr>
          <w:p w14:paraId="124650E7" w14:textId="77777777" w:rsidR="00452F3E" w:rsidRPr="004E7A80" w:rsidRDefault="00C24078" w:rsidP="00452F3E">
            <w:pPr>
              <w:pStyle w:val="ListParagraph"/>
              <w:numPr>
                <w:ilvl w:val="0"/>
                <w:numId w:val="13"/>
              </w:numPr>
              <w:rPr>
                <w:sz w:val="22"/>
              </w:rPr>
            </w:pPr>
            <w:r w:rsidRPr="004E7A80">
              <w:rPr>
                <w:sz w:val="22"/>
              </w:rPr>
              <w:t>to teach students and to provide continuing education to our staff</w:t>
            </w:r>
          </w:p>
        </w:tc>
        <w:tc>
          <w:tcPr>
            <w:tcW w:w="4788" w:type="dxa"/>
          </w:tcPr>
          <w:p w14:paraId="2E9A7ADF" w14:textId="77777777" w:rsidR="00452F3E" w:rsidRPr="004E7A80" w:rsidRDefault="00C24078" w:rsidP="00C24078">
            <w:pPr>
              <w:pStyle w:val="ListParagraph"/>
              <w:numPr>
                <w:ilvl w:val="0"/>
                <w:numId w:val="13"/>
              </w:numPr>
              <w:rPr>
                <w:sz w:val="22"/>
              </w:rPr>
            </w:pPr>
            <w:r w:rsidRPr="004E7A80">
              <w:rPr>
                <w:sz w:val="22"/>
              </w:rPr>
              <w:t>to advise clients about special events or opportunities (but we will always obtain express consent to do so)</w:t>
            </w:r>
          </w:p>
        </w:tc>
      </w:tr>
      <w:tr w:rsidR="00E5560B" w:rsidRPr="00216018" w14:paraId="6E4E5E8E" w14:textId="77777777" w:rsidTr="00B72921">
        <w:tc>
          <w:tcPr>
            <w:tcW w:w="4788" w:type="dxa"/>
          </w:tcPr>
          <w:p w14:paraId="7FD238FF" w14:textId="77777777" w:rsidR="00E5560B" w:rsidRPr="004E7A80" w:rsidRDefault="00C24078" w:rsidP="008E42B8">
            <w:pPr>
              <w:pStyle w:val="ListParagraph"/>
              <w:numPr>
                <w:ilvl w:val="0"/>
                <w:numId w:val="13"/>
              </w:numPr>
              <w:rPr>
                <w:sz w:val="22"/>
              </w:rPr>
            </w:pPr>
            <w:r w:rsidRPr="004E7A80">
              <w:rPr>
                <w:sz w:val="22"/>
              </w:rPr>
              <w:t xml:space="preserve">to fundraise for our </w:t>
            </w:r>
            <w:r w:rsidR="008E42B8" w:rsidRPr="004E7A80">
              <w:rPr>
                <w:sz w:val="22"/>
              </w:rPr>
              <w:t>organization</w:t>
            </w:r>
            <w:r w:rsidRPr="004E7A80">
              <w:rPr>
                <w:sz w:val="22"/>
              </w:rPr>
              <w:t xml:space="preserve"> </w:t>
            </w:r>
            <w:r w:rsidR="00442418" w:rsidRPr="004E7A80">
              <w:rPr>
                <w:sz w:val="22"/>
              </w:rPr>
              <w:t>(but you may opt-out of receiving fundraising solicitations by contacting us at the address below)</w:t>
            </w:r>
            <w:r w:rsidR="00442418" w:rsidRPr="004E7A80">
              <w:rPr>
                <w:b/>
                <w:sz w:val="22"/>
              </w:rPr>
              <w:t xml:space="preserve"> </w:t>
            </w:r>
          </w:p>
        </w:tc>
        <w:tc>
          <w:tcPr>
            <w:tcW w:w="4788" w:type="dxa"/>
          </w:tcPr>
          <w:p w14:paraId="3EE18F97" w14:textId="77777777" w:rsidR="00E5560B" w:rsidRPr="004E7A80" w:rsidRDefault="00B72921" w:rsidP="00B72921">
            <w:pPr>
              <w:pStyle w:val="ListParagraph"/>
              <w:numPr>
                <w:ilvl w:val="0"/>
                <w:numId w:val="13"/>
              </w:numPr>
              <w:rPr>
                <w:b/>
                <w:sz w:val="22"/>
              </w:rPr>
            </w:pPr>
            <w:r w:rsidRPr="004E7A80">
              <w:rPr>
                <w:sz w:val="22"/>
              </w:rPr>
              <w:t>for other purposes permitted by law</w:t>
            </w:r>
            <w:r w:rsidRPr="004E7A80">
              <w:rPr>
                <w:b/>
                <w:sz w:val="22"/>
              </w:rPr>
              <w:t xml:space="preserve"> </w:t>
            </w:r>
          </w:p>
        </w:tc>
      </w:tr>
      <w:tr w:rsidR="00F244C0" w:rsidRPr="00216018" w14:paraId="6AE7271E" w14:textId="77777777" w:rsidTr="00B72921">
        <w:tc>
          <w:tcPr>
            <w:tcW w:w="4788" w:type="dxa"/>
          </w:tcPr>
          <w:p w14:paraId="4F8E7176" w14:textId="77777777" w:rsidR="00F244C0" w:rsidRPr="004E7A80" w:rsidRDefault="00C24078" w:rsidP="00452F3E">
            <w:pPr>
              <w:pStyle w:val="ListParagraph"/>
              <w:numPr>
                <w:ilvl w:val="0"/>
                <w:numId w:val="13"/>
              </w:numPr>
              <w:rPr>
                <w:sz w:val="22"/>
              </w:rPr>
            </w:pPr>
            <w:r w:rsidRPr="004E7A80">
              <w:rPr>
                <w:sz w:val="22"/>
              </w:rPr>
              <w:t>[</w:t>
            </w:r>
            <w:r w:rsidR="0085198D" w:rsidRPr="004E7A80">
              <w:rPr>
                <w:sz w:val="22"/>
              </w:rPr>
              <w:t xml:space="preserve">add: </w:t>
            </w:r>
            <w:r w:rsidRPr="004E7A80">
              <w:rPr>
                <w:sz w:val="22"/>
              </w:rPr>
              <w:t>any other pu</w:t>
            </w:r>
            <w:r w:rsidR="0085198D" w:rsidRPr="004E7A80">
              <w:rPr>
                <w:sz w:val="22"/>
              </w:rPr>
              <w:t>rposes relevant to organization</w:t>
            </w:r>
            <w:r w:rsidRPr="004E7A80">
              <w:rPr>
                <w:sz w:val="22"/>
              </w:rPr>
              <w:t>]</w:t>
            </w:r>
          </w:p>
        </w:tc>
        <w:tc>
          <w:tcPr>
            <w:tcW w:w="4788" w:type="dxa"/>
          </w:tcPr>
          <w:p w14:paraId="26A389B8" w14:textId="77777777" w:rsidR="00F244C0" w:rsidRPr="004E7A80" w:rsidRDefault="00F244C0" w:rsidP="008E42B8">
            <w:pPr>
              <w:pStyle w:val="ListParagraph"/>
              <w:rPr>
                <w:sz w:val="22"/>
              </w:rPr>
            </w:pPr>
          </w:p>
        </w:tc>
      </w:tr>
    </w:tbl>
    <w:p w14:paraId="40D48A7B" w14:textId="77777777" w:rsidR="00452F3E" w:rsidRPr="00216018" w:rsidRDefault="00F634D0" w:rsidP="009F17D9">
      <w:pPr>
        <w:rPr>
          <w:sz w:val="22"/>
        </w:rPr>
      </w:pPr>
      <w:r w:rsidRPr="00216018">
        <w:rPr>
          <w:sz w:val="22"/>
        </w:rPr>
        <w:br/>
      </w:r>
      <w:r w:rsidR="007A3C28" w:rsidRPr="00216018">
        <w:rPr>
          <w:sz w:val="22"/>
        </w:rPr>
        <w:t xml:space="preserve">We will collect, use and disclose only as much personal health information as is needed to achieve these purposes. </w:t>
      </w:r>
      <w:r w:rsidR="00682A9D" w:rsidRPr="00216018">
        <w:rPr>
          <w:sz w:val="22"/>
        </w:rPr>
        <w:t xml:space="preserve"> </w:t>
      </w:r>
      <w:r w:rsidRPr="00216018">
        <w:rPr>
          <w:sz w:val="22"/>
        </w:rPr>
        <w:t>You can</w:t>
      </w:r>
      <w:r w:rsidR="00682A9D" w:rsidRPr="00216018">
        <w:rPr>
          <w:sz w:val="22"/>
        </w:rPr>
        <w:t xml:space="preserve"> withhold or withdraw your consent to the collection, use or disclos</w:t>
      </w:r>
      <w:r w:rsidRPr="00216018">
        <w:rPr>
          <w:sz w:val="22"/>
        </w:rPr>
        <w:t>ure</w:t>
      </w:r>
      <w:r w:rsidR="00682A9D" w:rsidRPr="00216018">
        <w:rPr>
          <w:sz w:val="22"/>
        </w:rPr>
        <w:t xml:space="preserve"> of your personal health information</w:t>
      </w:r>
      <w:r w:rsidR="00F451E3">
        <w:rPr>
          <w:sz w:val="22"/>
        </w:rPr>
        <w:t xml:space="preserve"> by contacting us (details below)</w:t>
      </w:r>
      <w:r w:rsidR="00682A9D" w:rsidRPr="00216018">
        <w:rPr>
          <w:sz w:val="22"/>
        </w:rPr>
        <w:t xml:space="preserve">. </w:t>
      </w:r>
    </w:p>
    <w:p w14:paraId="34D16FC5" w14:textId="77777777" w:rsidR="00682A9D" w:rsidRPr="00216018" w:rsidRDefault="000B5ACC" w:rsidP="009F17D9">
      <w:pPr>
        <w:rPr>
          <w:b/>
          <w:sz w:val="22"/>
        </w:rPr>
      </w:pPr>
      <w:r w:rsidRPr="00216018">
        <w:rPr>
          <w:b/>
          <w:sz w:val="22"/>
        </w:rPr>
        <w:t xml:space="preserve">Access to Health Records </w:t>
      </w:r>
    </w:p>
    <w:p w14:paraId="61B99F4C" w14:textId="77777777" w:rsidR="000B5ACC" w:rsidRPr="00216018" w:rsidRDefault="000B5ACC" w:rsidP="009F17D9">
      <w:pPr>
        <w:rPr>
          <w:sz w:val="22"/>
        </w:rPr>
      </w:pPr>
      <w:r w:rsidRPr="00216018">
        <w:rPr>
          <w:sz w:val="22"/>
        </w:rPr>
        <w:t xml:space="preserve">You have the right to seek access to your </w:t>
      </w:r>
      <w:r w:rsidR="00682A9D" w:rsidRPr="00216018">
        <w:rPr>
          <w:sz w:val="22"/>
        </w:rPr>
        <w:t>health</w:t>
      </w:r>
      <w:r w:rsidR="00F634D0" w:rsidRPr="00216018">
        <w:rPr>
          <w:sz w:val="22"/>
        </w:rPr>
        <w:t xml:space="preserve"> records that we keep and to ask us to correct </w:t>
      </w:r>
      <w:r w:rsidR="00B72921">
        <w:rPr>
          <w:sz w:val="22"/>
        </w:rPr>
        <w:t>a</w:t>
      </w:r>
      <w:r w:rsidR="00F634D0" w:rsidRPr="00216018">
        <w:rPr>
          <w:sz w:val="22"/>
        </w:rPr>
        <w:t xml:space="preserve"> record if you believe it is inaccurate or incomplete.  Please contact us for more information.</w:t>
      </w:r>
    </w:p>
    <w:p w14:paraId="2921126F" w14:textId="77777777" w:rsidR="000B5ACC" w:rsidRPr="00216018" w:rsidRDefault="000B5ACC" w:rsidP="009F17D9">
      <w:pPr>
        <w:rPr>
          <w:sz w:val="22"/>
        </w:rPr>
      </w:pPr>
      <w:r w:rsidRPr="00216018">
        <w:rPr>
          <w:b/>
          <w:sz w:val="22"/>
        </w:rPr>
        <w:t>Questions</w:t>
      </w:r>
      <w:r w:rsidR="00F634D0" w:rsidRPr="00216018">
        <w:rPr>
          <w:b/>
          <w:sz w:val="22"/>
        </w:rPr>
        <w:t xml:space="preserve"> or Concerns</w:t>
      </w:r>
      <w:r w:rsidRPr="00216018">
        <w:rPr>
          <w:b/>
          <w:sz w:val="22"/>
        </w:rPr>
        <w:t>?</w:t>
      </w:r>
    </w:p>
    <w:p w14:paraId="74CCEE68" w14:textId="77777777" w:rsidR="00F634D0" w:rsidRPr="00216018" w:rsidRDefault="00F634D0" w:rsidP="00F634D0">
      <w:pPr>
        <w:rPr>
          <w:b/>
          <w:sz w:val="22"/>
        </w:rPr>
      </w:pPr>
      <w:r w:rsidRPr="00216018">
        <w:rPr>
          <w:sz w:val="22"/>
        </w:rPr>
        <w:t xml:space="preserve">If you have questions or </w:t>
      </w:r>
      <w:r w:rsidR="00F451E3">
        <w:rPr>
          <w:sz w:val="22"/>
        </w:rPr>
        <w:t>want to make a complaint</w:t>
      </w:r>
      <w:r w:rsidRPr="00216018">
        <w:rPr>
          <w:sz w:val="22"/>
        </w:rPr>
        <w:t xml:space="preserve"> about our privacy practices, please contact: </w:t>
      </w:r>
      <w:r w:rsidRPr="00216018">
        <w:rPr>
          <w:b/>
          <w:sz w:val="22"/>
        </w:rPr>
        <w:t>[insert name of contact person or custodian]</w:t>
      </w:r>
    </w:p>
    <w:p w14:paraId="74E313EC" w14:textId="77777777" w:rsidR="00216018" w:rsidRDefault="00F634D0" w:rsidP="009F17D9">
      <w:pPr>
        <w:rPr>
          <w:sz w:val="22"/>
        </w:rPr>
      </w:pPr>
      <w:r w:rsidRPr="00216018">
        <w:rPr>
          <w:sz w:val="22"/>
        </w:rPr>
        <w:lastRenderedPageBreak/>
        <w:t>You also have the right to complain to the Information and Privacy Commissioner of Ontario</w:t>
      </w:r>
      <w:r w:rsidR="009E1371">
        <w:rPr>
          <w:sz w:val="22"/>
        </w:rPr>
        <w:t xml:space="preserve"> at the address below</w:t>
      </w:r>
      <w:r w:rsidRPr="00216018">
        <w:rPr>
          <w:sz w:val="22"/>
        </w:rPr>
        <w:t xml:space="preserve"> if</w:t>
      </w:r>
      <w:r w:rsidR="000B5ACC" w:rsidRPr="00216018">
        <w:rPr>
          <w:sz w:val="22"/>
        </w:rPr>
        <w:t xml:space="preserve"> you have concerns about our privacy practices or how your personal health </w:t>
      </w:r>
      <w:r w:rsidRPr="00216018">
        <w:rPr>
          <w:sz w:val="22"/>
        </w:rPr>
        <w:t>information has been handled</w:t>
      </w:r>
      <w:r w:rsidR="00216018">
        <w:rPr>
          <w:sz w:val="22"/>
        </w:rPr>
        <w:t>:</w:t>
      </w:r>
    </w:p>
    <w:p w14:paraId="46804696" w14:textId="77777777" w:rsidR="00216018" w:rsidRDefault="00216018" w:rsidP="00F634D0">
      <w:pPr>
        <w:rPr>
          <w:sz w:val="20"/>
          <w:szCs w:val="20"/>
        </w:rPr>
      </w:pPr>
      <w:r w:rsidRPr="00216018">
        <w:rPr>
          <w:sz w:val="20"/>
          <w:szCs w:val="20"/>
        </w:rPr>
        <w:t xml:space="preserve">Information and Privacy Commissioner/Ontario </w:t>
      </w:r>
      <w:r>
        <w:rPr>
          <w:sz w:val="20"/>
          <w:szCs w:val="20"/>
        </w:rPr>
        <w:br/>
      </w:r>
      <w:r w:rsidR="00F634D0" w:rsidRPr="00F634D0">
        <w:rPr>
          <w:sz w:val="20"/>
          <w:szCs w:val="20"/>
        </w:rPr>
        <w:t>2 Bloor Street East, Suite 1400</w:t>
      </w:r>
      <w:r w:rsidR="00F634D0">
        <w:rPr>
          <w:sz w:val="20"/>
          <w:szCs w:val="20"/>
        </w:rPr>
        <w:t>,</w:t>
      </w:r>
      <w:r w:rsidR="00F634D0" w:rsidRPr="00F634D0">
        <w:rPr>
          <w:sz w:val="20"/>
          <w:szCs w:val="20"/>
        </w:rPr>
        <w:t xml:space="preserve"> Toronto, Ontario M4W 1A8 </w:t>
      </w:r>
      <w:r w:rsidR="00F634D0" w:rsidRPr="00F634D0">
        <w:rPr>
          <w:sz w:val="20"/>
          <w:szCs w:val="20"/>
        </w:rPr>
        <w:br/>
        <w:t>Telephone: Toronto Area (416/local 905): (416) 326-3333</w:t>
      </w:r>
      <w:r>
        <w:rPr>
          <w:sz w:val="20"/>
          <w:szCs w:val="20"/>
        </w:rPr>
        <w:br/>
      </w:r>
      <w:r w:rsidR="00F634D0" w:rsidRPr="00F634D0">
        <w:rPr>
          <w:sz w:val="20"/>
          <w:szCs w:val="20"/>
        </w:rPr>
        <w:t>Long Distance: 1 (800) 387-0073 (within Ontario)</w:t>
      </w:r>
      <w:r w:rsidR="00F634D0" w:rsidRPr="00F634D0">
        <w:rPr>
          <w:sz w:val="20"/>
          <w:szCs w:val="20"/>
        </w:rPr>
        <w:br/>
        <w:t>TDD/TTY: (416) 325-7539</w:t>
      </w:r>
      <w:r w:rsidR="00F634D0" w:rsidRPr="00F634D0">
        <w:rPr>
          <w:sz w:val="20"/>
          <w:szCs w:val="20"/>
        </w:rPr>
        <w:br/>
        <w:t>FAX: (416) 325-9195</w:t>
      </w:r>
      <w:r w:rsidR="00F634D0" w:rsidRPr="00F634D0">
        <w:rPr>
          <w:sz w:val="20"/>
          <w:szCs w:val="20"/>
        </w:rPr>
        <w:br/>
      </w:r>
      <w:hyperlink r:id="rId12" w:history="1">
        <w:r w:rsidRPr="002F2E8C">
          <w:rPr>
            <w:rStyle w:val="Hyperlink"/>
            <w:sz w:val="20"/>
            <w:szCs w:val="20"/>
          </w:rPr>
          <w:t>www.ipc.on.ca</w:t>
        </w:r>
      </w:hyperlink>
      <w:r>
        <w:rPr>
          <w:sz w:val="20"/>
          <w:szCs w:val="20"/>
        </w:rPr>
        <w:t xml:space="preserve"> </w:t>
      </w:r>
    </w:p>
    <w:p w14:paraId="4220BA17" w14:textId="77777777" w:rsidR="00022133" w:rsidRDefault="00022133">
      <w:r>
        <w:br w:type="page"/>
      </w:r>
    </w:p>
    <w:p w14:paraId="7C8FD6C6" w14:textId="77777777" w:rsidR="00022133" w:rsidRDefault="00022133" w:rsidP="00022133">
      <w:pPr>
        <w:pStyle w:val="Heading1"/>
      </w:pPr>
      <w:bookmarkStart w:id="25" w:name="_Toc454811794"/>
      <w:r>
        <w:lastRenderedPageBreak/>
        <w:t>Form 2: Sample Privacy Policy</w:t>
      </w:r>
      <w:r w:rsidR="00DD4696">
        <w:t xml:space="preserve"> </w:t>
      </w:r>
      <w:r w:rsidR="00E34C64">
        <w:t>for</w:t>
      </w:r>
      <w:r w:rsidR="00DD4696">
        <w:t xml:space="preserve"> Regulated Health Professional</w:t>
      </w:r>
      <w:bookmarkEnd w:id="25"/>
    </w:p>
    <w:tbl>
      <w:tblPr>
        <w:tblStyle w:val="TableGrid"/>
        <w:tblW w:w="0" w:type="auto"/>
        <w:tblLook w:val="04A0" w:firstRow="1" w:lastRow="0" w:firstColumn="1" w:lastColumn="0" w:noHBand="0" w:noVBand="1"/>
      </w:tblPr>
      <w:tblGrid>
        <w:gridCol w:w="9350"/>
      </w:tblGrid>
      <w:tr w:rsidR="00E34C64" w14:paraId="75E7F907" w14:textId="77777777" w:rsidTr="00E34C64">
        <w:tc>
          <w:tcPr>
            <w:tcW w:w="9576" w:type="dxa"/>
          </w:tcPr>
          <w:p w14:paraId="352F62A4" w14:textId="77777777" w:rsidR="00E34C64" w:rsidRPr="00E34C64" w:rsidRDefault="00E34C64" w:rsidP="00D608AD">
            <w:pPr>
              <w:rPr>
                <w:i/>
              </w:rPr>
            </w:pPr>
            <w:r>
              <w:rPr>
                <w:i/>
              </w:rPr>
              <w:t xml:space="preserve">This sample privacy should be modified to fit your organization’s needs. In particular, you </w:t>
            </w:r>
            <w:r w:rsidR="009E1371">
              <w:rPr>
                <w:i/>
              </w:rPr>
              <w:t>will</w:t>
            </w:r>
            <w:r>
              <w:rPr>
                <w:i/>
              </w:rPr>
              <w:t xml:space="preserve"> need to </w:t>
            </w:r>
            <w:r w:rsidR="00D608AD">
              <w:rPr>
                <w:i/>
              </w:rPr>
              <w:t>tailor the document to reflect</w:t>
            </w:r>
            <w:r>
              <w:rPr>
                <w:i/>
              </w:rPr>
              <w:t xml:space="preserve"> the types of personal health information that </w:t>
            </w:r>
            <w:r w:rsidR="00D608AD">
              <w:rPr>
                <w:i/>
              </w:rPr>
              <w:t>your organization collects</w:t>
            </w:r>
            <w:r w:rsidR="009E1371">
              <w:rPr>
                <w:i/>
              </w:rPr>
              <w:t>,</w:t>
            </w:r>
            <w:r>
              <w:rPr>
                <w:i/>
              </w:rPr>
              <w:t xml:space="preserve"> the purposes for which that information is collected</w:t>
            </w:r>
            <w:r w:rsidR="00D608AD">
              <w:rPr>
                <w:i/>
              </w:rPr>
              <w:t>, used and disclosed,</w:t>
            </w:r>
            <w:r w:rsidR="009E1371">
              <w:rPr>
                <w:i/>
              </w:rPr>
              <w:t xml:space="preserve"> and the safeguards that </w:t>
            </w:r>
            <w:r w:rsidR="00D608AD">
              <w:rPr>
                <w:i/>
              </w:rPr>
              <w:t>you have implemented</w:t>
            </w:r>
            <w:r>
              <w:rPr>
                <w:i/>
              </w:rPr>
              <w:t xml:space="preserve">. </w:t>
            </w:r>
          </w:p>
        </w:tc>
      </w:tr>
    </w:tbl>
    <w:p w14:paraId="5F497E5F" w14:textId="77777777" w:rsidR="00E34C64" w:rsidRDefault="00E34C64" w:rsidP="00DD4696"/>
    <w:p w14:paraId="2181F408" w14:textId="77777777" w:rsidR="00DD4696" w:rsidRDefault="00DD4696" w:rsidP="00DD4696">
      <w:r>
        <w:t xml:space="preserve">Privacy of personal information is an important principle to the [name of </w:t>
      </w:r>
      <w:r w:rsidR="009E1371">
        <w:t>organization</w:t>
      </w:r>
      <w:r>
        <w:t>]. We are committed to collecting, using and disclosing personal information responsibly and only to the extent necessary for the [goods and] services we provide. We try to be open and transparent a</w:t>
      </w:r>
      <w:r w:rsidR="009E1371">
        <w:t>bout</w:t>
      </w:r>
      <w:r>
        <w:t xml:space="preserve"> how we handle personal information. This document describes our privacy policies.</w:t>
      </w:r>
    </w:p>
    <w:p w14:paraId="117B9181" w14:textId="77777777" w:rsidR="00DD4696" w:rsidRDefault="00DD4696" w:rsidP="00DD4696">
      <w:pPr>
        <w:pStyle w:val="Heading2"/>
      </w:pPr>
      <w:bookmarkStart w:id="26" w:name="_Toc454811795"/>
      <w:r>
        <w:t>What is Personal Health Information?</w:t>
      </w:r>
      <w:bookmarkEnd w:id="26"/>
    </w:p>
    <w:p w14:paraId="4C89B6FD" w14:textId="77777777" w:rsidR="00DD4696" w:rsidRDefault="00DD4696" w:rsidP="00DD4696">
      <w:r>
        <w:t>Personal health information is information about an identifiable individual. Personal health information includes information that relates to:</w:t>
      </w:r>
    </w:p>
    <w:p w14:paraId="5A3DD96E" w14:textId="77777777" w:rsidR="00DD4696" w:rsidRDefault="00DD4696" w:rsidP="00DD4696">
      <w:pPr>
        <w:pStyle w:val="ListParagraph"/>
        <w:numPr>
          <w:ilvl w:val="0"/>
          <w:numId w:val="14"/>
        </w:numPr>
        <w:jc w:val="both"/>
      </w:pPr>
      <w:r>
        <w:t>the physical or mental health of the individual (including family health history);</w:t>
      </w:r>
    </w:p>
    <w:p w14:paraId="11CB42C8" w14:textId="77777777" w:rsidR="00DD4696" w:rsidRDefault="00DD4696" w:rsidP="00DD4696">
      <w:pPr>
        <w:pStyle w:val="ListParagraph"/>
        <w:numPr>
          <w:ilvl w:val="0"/>
          <w:numId w:val="14"/>
        </w:numPr>
        <w:jc w:val="both"/>
      </w:pPr>
      <w:r>
        <w:t>the provision of health care to the individual (including identifying the individual’s health care provider);</w:t>
      </w:r>
    </w:p>
    <w:p w14:paraId="3DCDA2C3" w14:textId="77777777" w:rsidR="00DD4696" w:rsidRDefault="00290FA9" w:rsidP="00DD4696">
      <w:pPr>
        <w:pStyle w:val="ListParagraph"/>
        <w:numPr>
          <w:ilvl w:val="0"/>
          <w:numId w:val="14"/>
        </w:numPr>
        <w:jc w:val="both"/>
      </w:pPr>
      <w:r>
        <w:t>community and home care services</w:t>
      </w:r>
      <w:r w:rsidR="00DD4696">
        <w:t>;</w:t>
      </w:r>
    </w:p>
    <w:p w14:paraId="14E9DDD9" w14:textId="77777777" w:rsidR="00DD4696" w:rsidRDefault="00DD4696" w:rsidP="00DD4696">
      <w:pPr>
        <w:pStyle w:val="ListParagraph"/>
        <w:numPr>
          <w:ilvl w:val="0"/>
          <w:numId w:val="14"/>
        </w:numPr>
        <w:jc w:val="both"/>
      </w:pPr>
      <w:r>
        <w:t>payments or eligibility for health care or coverage for health care;</w:t>
      </w:r>
    </w:p>
    <w:p w14:paraId="6AF07A7D" w14:textId="77777777" w:rsidR="00DD4696" w:rsidRDefault="00DD4696" w:rsidP="00DD4696">
      <w:pPr>
        <w:pStyle w:val="ListParagraph"/>
        <w:numPr>
          <w:ilvl w:val="0"/>
          <w:numId w:val="14"/>
        </w:numPr>
        <w:jc w:val="both"/>
      </w:pPr>
      <w:r>
        <w:t>the donation or testing of an individual’s body part or bodily substance;</w:t>
      </w:r>
    </w:p>
    <w:p w14:paraId="2697F124" w14:textId="77777777" w:rsidR="00DD4696" w:rsidRDefault="00DD4696" w:rsidP="00DD4696">
      <w:pPr>
        <w:pStyle w:val="ListParagraph"/>
        <w:numPr>
          <w:ilvl w:val="0"/>
          <w:numId w:val="14"/>
        </w:numPr>
        <w:jc w:val="both"/>
      </w:pPr>
      <w:r>
        <w:t>the individual’s health number; or</w:t>
      </w:r>
    </w:p>
    <w:p w14:paraId="2E0AC2ED" w14:textId="77777777" w:rsidR="00DD4696" w:rsidRDefault="00DD4696" w:rsidP="00DD4696">
      <w:pPr>
        <w:pStyle w:val="ListParagraph"/>
        <w:numPr>
          <w:ilvl w:val="0"/>
          <w:numId w:val="14"/>
        </w:numPr>
        <w:jc w:val="both"/>
      </w:pPr>
      <w:r>
        <w:t>the identification of the individual’s substitute decision-maker.</w:t>
      </w:r>
    </w:p>
    <w:p w14:paraId="6DE4D78F" w14:textId="77777777" w:rsidR="00DD4696" w:rsidRDefault="00DD4696" w:rsidP="00DD4696">
      <w:pPr>
        <w:pStyle w:val="Heading2"/>
      </w:pPr>
      <w:bookmarkStart w:id="27" w:name="_Toc454811796"/>
      <w:r>
        <w:t>Who We Are</w:t>
      </w:r>
      <w:bookmarkEnd w:id="27"/>
    </w:p>
    <w:p w14:paraId="7F2E8481" w14:textId="77777777" w:rsidR="00DD4696" w:rsidRDefault="00DD4696" w:rsidP="00DD4696">
      <w:r>
        <w:t xml:space="preserve">Our organization, [name of </w:t>
      </w:r>
      <w:r w:rsidR="009E1371">
        <w:t>organization</w:t>
      </w:r>
      <w:r>
        <w:t>], includes at the time of writing [</w:t>
      </w:r>
      <w:r w:rsidR="009E1371">
        <w:t xml:space="preserve">insert </w:t>
      </w:r>
      <w:r>
        <w:t>number of professionals and support staff]. We use a number of consultants and agencies that may, in the course of their duties, have limited access to personal health information we hold. These include computer consultants, office security and maintenance, bookkeepers and accountants,</w:t>
      </w:r>
      <w:r w:rsidR="00D811D4">
        <w:t xml:space="preserve"> lawyers,</w:t>
      </w:r>
      <w:r>
        <w:t xml:space="preserve"> temporary workers to cover holidays, credit card companies, website managers</w:t>
      </w:r>
      <w:r w:rsidR="00D811D4">
        <w:t xml:space="preserve"> and</w:t>
      </w:r>
      <w:r>
        <w:t xml:space="preserve"> cleaners. We restrict their access to any personal information we hold as much as is reasonably possible. We also have their assurance that they follow appropriate privacy principles.</w:t>
      </w:r>
    </w:p>
    <w:p w14:paraId="369E36EF" w14:textId="77777777" w:rsidR="00DD4696" w:rsidRDefault="00DD4696" w:rsidP="00DD4696">
      <w:pPr>
        <w:pStyle w:val="Heading2"/>
      </w:pPr>
      <w:bookmarkStart w:id="28" w:name="_Toc454811797"/>
      <w:r>
        <w:t>Why We Collect Personal Health Information</w:t>
      </w:r>
      <w:bookmarkEnd w:id="28"/>
      <w:r>
        <w:t xml:space="preserve"> </w:t>
      </w:r>
    </w:p>
    <w:p w14:paraId="6EAE4238" w14:textId="77777777" w:rsidR="00DD4696" w:rsidRDefault="00ED4F7F" w:rsidP="00DD4696">
      <w:r>
        <w:t>We</w:t>
      </w:r>
      <w:r w:rsidR="00DD4696">
        <w:t xml:space="preserve"> collect, use and disclose personal information in order to serve our clients. For our clients, the primary purpose for collecting personal </w:t>
      </w:r>
      <w:r>
        <w:t xml:space="preserve">health </w:t>
      </w:r>
      <w:r w:rsidR="00DD4696">
        <w:t xml:space="preserve">information is to provide </w:t>
      </w:r>
      <w:r>
        <w:t xml:space="preserve">[type of therapy or </w:t>
      </w:r>
      <w:r>
        <w:lastRenderedPageBreak/>
        <w:t>treatment]</w:t>
      </w:r>
      <w:r w:rsidR="00DD4696">
        <w:t xml:space="preserve">. For example, we collect information about a client’s health history, including their family history, physical condition and function and social situation in order to help us assess what their health needs are, to advise them of their options and then to provide the health care they choose to have. A second primary purpose is to obtain a baseline of health and social information so that in providing ongoing health services we can identify changes that are occurring over time. </w:t>
      </w:r>
    </w:p>
    <w:p w14:paraId="2E2F3E8E" w14:textId="77777777" w:rsidR="00DD4696" w:rsidRDefault="00ED4F7F" w:rsidP="00DD4696">
      <w:r>
        <w:t>We</w:t>
      </w:r>
      <w:r w:rsidR="00DD4696">
        <w:t xml:space="preserve"> also collect, use and disclose </w:t>
      </w:r>
      <w:r>
        <w:t xml:space="preserve">personal health </w:t>
      </w:r>
      <w:r w:rsidR="00DD4696">
        <w:t>information for purposes related to or secondary to our primary purposes. The most common examples of our related and secondary purposes are as follows:</w:t>
      </w:r>
    </w:p>
    <w:p w14:paraId="657F89C0" w14:textId="77777777" w:rsidR="00A10FE0" w:rsidRDefault="00A10FE0" w:rsidP="00A10FE0">
      <w:r w:rsidRPr="008455A0">
        <w:rPr>
          <w:b/>
        </w:rPr>
        <w:t>Related Purpose #1:</w:t>
      </w:r>
      <w:r>
        <w:t xml:space="preserve"> To obtain payment for services or goods provided. Payment may be obtained from the individual, OHIP, WSIB, private insurers or others. </w:t>
      </w:r>
    </w:p>
    <w:p w14:paraId="68D4857B" w14:textId="77777777" w:rsidR="00A10FE0" w:rsidRDefault="00A10FE0" w:rsidP="00A10FE0">
      <w:r>
        <w:rPr>
          <w:b/>
        </w:rPr>
        <w:t xml:space="preserve">Related Purpose #2: </w:t>
      </w:r>
      <w:r>
        <w:t xml:space="preserve">To conduct quality improvement and risk management activities. We review client files to ensure that we provide high quality services, including assessing the performance of our staff.  External consultants (e.g. auditors, lawyers, practice consultants, voluntary accreditation programs) may conduct audits and quality improvement reviews on our behalf. </w:t>
      </w:r>
    </w:p>
    <w:p w14:paraId="3C11ADC1" w14:textId="77777777" w:rsidR="00A10FE0" w:rsidRDefault="00A10FE0" w:rsidP="00A10FE0">
      <w:r>
        <w:rPr>
          <w:b/>
        </w:rPr>
        <w:t>Related Purpose #3:</w:t>
      </w:r>
      <w:r>
        <w:t xml:space="preserve"> To promote our clinic, new services, special events and opportunities (e.g. a seminar or conference) that we have available.  We will always obtain express consent from the client prior to collecting or handling personal health information for this purpose. </w:t>
      </w:r>
    </w:p>
    <w:p w14:paraId="0D439870" w14:textId="77777777" w:rsidR="00A10FE0" w:rsidRDefault="00A10FE0" w:rsidP="00A10FE0">
      <w:r>
        <w:rPr>
          <w:b/>
        </w:rPr>
        <w:t>Related Purpose #4:</w:t>
      </w:r>
      <w:r>
        <w:t xml:space="preserve"> To comply with external regulators. Our professionals are regulated by </w:t>
      </w:r>
      <w:r w:rsidR="009E1371">
        <w:t>[name of College</w:t>
      </w:r>
      <w:r w:rsidR="004247B7">
        <w:t>(s)</w:t>
      </w:r>
      <w:r w:rsidR="009E1371">
        <w:t>]</w:t>
      </w:r>
      <w:r>
        <w:t xml:space="preserve"> who may inspect our records and interview our staff as a part of its regulatory activities in the public interest. The [College] has its own strict confidentiality and privacy obligations.  In addition, as professionals, we will report serious misconduct, incompetence or incapacity of other practitioners, whether they belong to other organizations or our own.  Also, our organization believes that it should report information suggesting illegal behaviour to the authorities. In addition, we may be required </w:t>
      </w:r>
      <w:r w:rsidR="004E7A80">
        <w:t xml:space="preserve">by law </w:t>
      </w:r>
      <w:r>
        <w:t>to disclose personal health information to various government agencies (e.g. Ministry of Health, children’s aid societies, Canada Customs and Revenue Agency, Information and Privacy Commissioner, etc.).</w:t>
      </w:r>
    </w:p>
    <w:p w14:paraId="753BB390" w14:textId="77777777" w:rsidR="00A10FE0" w:rsidRDefault="00A10FE0" w:rsidP="00A10FE0">
      <w:r>
        <w:rPr>
          <w:b/>
        </w:rPr>
        <w:t>Related Purpose #5:</w:t>
      </w:r>
      <w:r>
        <w:t xml:space="preserve"> To educate our staff and students. We value the education and development of future and current professionals.  We will review client records in order to educate our staff and students about the provision of health care. </w:t>
      </w:r>
    </w:p>
    <w:p w14:paraId="0E6481F8" w14:textId="77777777" w:rsidR="00A10FE0" w:rsidRDefault="00A10FE0" w:rsidP="00A10FE0">
      <w:r>
        <w:rPr>
          <w:b/>
        </w:rPr>
        <w:t xml:space="preserve">Related Purpose #6: </w:t>
      </w:r>
      <w:r>
        <w:t>T</w:t>
      </w:r>
      <w:r w:rsidR="0001083D">
        <w:t xml:space="preserve">o fundraise for the operations of our organization, with the express or implied consent of our clients. </w:t>
      </w:r>
      <w:r>
        <w:t xml:space="preserve">If we rely on implied consent, we will only use the client’s name </w:t>
      </w:r>
      <w:r>
        <w:lastRenderedPageBreak/>
        <w:t>and address, we will provide clients with an easy opt-out option, and we will not reveal anything about our client’s heal</w:t>
      </w:r>
      <w:r w:rsidR="0001083D">
        <w:t>th in the request.</w:t>
      </w:r>
    </w:p>
    <w:p w14:paraId="40DAB4E0" w14:textId="77777777" w:rsidR="00A10FE0" w:rsidRDefault="00A10FE0" w:rsidP="00A10FE0">
      <w:r>
        <w:rPr>
          <w:b/>
        </w:rPr>
        <w:t xml:space="preserve">Related Purpose #7: </w:t>
      </w:r>
      <w:r>
        <w:t>To facilitate the sale of our organization</w:t>
      </w:r>
      <w:r w:rsidR="0001083D">
        <w:t xml:space="preserve">. </w:t>
      </w:r>
      <w:r>
        <w:t xml:space="preserve">If the organization or its assets were to be sold, the potential purchaser would want to conduct a “due diligence” review of the organization’s records to ensure that it is a viable business that has been honestly portrayed.  The potential purchaser must first enter into an agreement with the organization to keep the information confidential and secure and not to retain any of the information longer than necessary to conduct the due diligence. Once a sale has been finalized, the organization may transfer records to the purchaser, but it will make reasonable efforts to provide notice to the individual before doing so. </w:t>
      </w:r>
    </w:p>
    <w:p w14:paraId="2159CE8B" w14:textId="77777777" w:rsidR="00DD4696" w:rsidRDefault="00DD4696" w:rsidP="00ED4F7F">
      <w:pPr>
        <w:pStyle w:val="Heading2"/>
      </w:pPr>
      <w:bookmarkStart w:id="29" w:name="_Toc454811798"/>
      <w:r>
        <w:t>Protecting Personal Information</w:t>
      </w:r>
      <w:bookmarkEnd w:id="29"/>
    </w:p>
    <w:p w14:paraId="0D5563D2" w14:textId="77777777" w:rsidR="00DD4696" w:rsidRDefault="00DD4696" w:rsidP="00DD4696">
      <w:r>
        <w:t>We understand the importance of protecting personal information. For that reason, we have taken the following steps:</w:t>
      </w:r>
    </w:p>
    <w:p w14:paraId="1FE3210B" w14:textId="77777777" w:rsidR="00DD4696" w:rsidRDefault="00DD4696" w:rsidP="0001083D">
      <w:pPr>
        <w:pStyle w:val="ListParagraph"/>
        <w:numPr>
          <w:ilvl w:val="0"/>
          <w:numId w:val="19"/>
        </w:numPr>
      </w:pPr>
      <w:r>
        <w:t>Paper information is either under supervision or secured in a locked or restricted area.</w:t>
      </w:r>
    </w:p>
    <w:p w14:paraId="67776DD9" w14:textId="77777777" w:rsidR="0001083D" w:rsidRPr="0001083D" w:rsidRDefault="00DD4696" w:rsidP="0001083D">
      <w:pPr>
        <w:pStyle w:val="ListParagraph"/>
        <w:numPr>
          <w:ilvl w:val="0"/>
          <w:numId w:val="19"/>
        </w:numPr>
        <w:rPr>
          <w:b/>
        </w:rPr>
      </w:pPr>
      <w:r>
        <w:t xml:space="preserve">Electronic hardware is either under supervision or secured in a locked or restricted area at all times. In addition, </w:t>
      </w:r>
      <w:r w:rsidR="0001083D">
        <w:t xml:space="preserve">strong </w:t>
      </w:r>
      <w:r>
        <w:t xml:space="preserve">passwords are used on </w:t>
      </w:r>
      <w:r w:rsidR="0085198D">
        <w:t xml:space="preserve">all </w:t>
      </w:r>
      <w:r>
        <w:t>computers</w:t>
      </w:r>
      <w:r w:rsidR="0001083D">
        <w:t xml:space="preserve"> and mobile devices</w:t>
      </w:r>
      <w:r>
        <w:t>.</w:t>
      </w:r>
    </w:p>
    <w:p w14:paraId="6BBE0947" w14:textId="77777777" w:rsidR="0001083D" w:rsidRDefault="0001083D" w:rsidP="0001083D">
      <w:pPr>
        <w:pStyle w:val="ListParagraph"/>
        <w:numPr>
          <w:ilvl w:val="0"/>
          <w:numId w:val="19"/>
        </w:numPr>
      </w:pPr>
      <w:r>
        <w:t xml:space="preserve">Personal health information is only stored on mobile devices if necessary.  All personal health information stored on mobile devices is protected by strong encryption. </w:t>
      </w:r>
    </w:p>
    <w:p w14:paraId="7476D4C3" w14:textId="77777777" w:rsidR="00C554B0" w:rsidRDefault="00C554B0" w:rsidP="00C554B0">
      <w:pPr>
        <w:pStyle w:val="ListParagraph"/>
        <w:numPr>
          <w:ilvl w:val="0"/>
          <w:numId w:val="19"/>
        </w:numPr>
      </w:pPr>
      <w:r w:rsidRPr="00C554B0">
        <w:t>We try to avoid taking personal health information home to work on there. However, when we do so, we transport, use and store the personal health information securely</w:t>
      </w:r>
      <w:r>
        <w:t>.</w:t>
      </w:r>
    </w:p>
    <w:p w14:paraId="0DCD334E" w14:textId="77777777" w:rsidR="00DD4696" w:rsidRDefault="00DD4696" w:rsidP="0001083D">
      <w:pPr>
        <w:pStyle w:val="ListParagraph"/>
        <w:numPr>
          <w:ilvl w:val="0"/>
          <w:numId w:val="19"/>
        </w:numPr>
      </w:pPr>
      <w:r>
        <w:t xml:space="preserve">Paper information is </w:t>
      </w:r>
      <w:r w:rsidR="0085198D">
        <w:t>transferred</w:t>
      </w:r>
      <w:r>
        <w:t xml:space="preserve"> through sealed, addressed envelopes or boxes by reputable companies</w:t>
      </w:r>
      <w:r w:rsidR="00C554B0">
        <w:t xml:space="preserve"> with strong privacy policies</w:t>
      </w:r>
      <w:r>
        <w:t>.</w:t>
      </w:r>
    </w:p>
    <w:p w14:paraId="1435F18F" w14:textId="77777777" w:rsidR="00DD4696" w:rsidRDefault="00DD4696" w:rsidP="0001083D">
      <w:pPr>
        <w:pStyle w:val="ListParagraph"/>
        <w:numPr>
          <w:ilvl w:val="0"/>
          <w:numId w:val="19"/>
        </w:numPr>
      </w:pPr>
      <w:r>
        <w:t>Electronic information is either anonymized or encrypted</w:t>
      </w:r>
      <w:r w:rsidR="00440433">
        <w:t xml:space="preserve"> before being transmitted</w:t>
      </w:r>
      <w:r>
        <w:t>.</w:t>
      </w:r>
    </w:p>
    <w:p w14:paraId="7480B398" w14:textId="77777777" w:rsidR="00DD4696" w:rsidRDefault="0085198D" w:rsidP="0001083D">
      <w:pPr>
        <w:pStyle w:val="ListParagraph"/>
        <w:numPr>
          <w:ilvl w:val="0"/>
          <w:numId w:val="19"/>
        </w:numPr>
      </w:pPr>
      <w:r>
        <w:t xml:space="preserve">Our staff </w:t>
      </w:r>
      <w:r w:rsidR="002C6FEB">
        <w:t>members are</w:t>
      </w:r>
      <w:r w:rsidR="00DD4696">
        <w:t xml:space="preserve"> trained to collect, use and disclose personal information only as necessary to fulfill their duties and in accordance with our privacy policy.</w:t>
      </w:r>
    </w:p>
    <w:p w14:paraId="0876B45A" w14:textId="77777777" w:rsidR="00683674" w:rsidRDefault="00683674" w:rsidP="0001083D">
      <w:pPr>
        <w:pStyle w:val="ListParagraph"/>
        <w:numPr>
          <w:ilvl w:val="0"/>
          <w:numId w:val="19"/>
        </w:numPr>
      </w:pPr>
      <w:r>
        <w:t xml:space="preserve">We do not post any personal information about our clients on social media sites and our staff </w:t>
      </w:r>
      <w:r w:rsidR="002C6FEB">
        <w:t>members are</w:t>
      </w:r>
      <w:r>
        <w:t xml:space="preserve"> trained on the appropriate use of social media sites. </w:t>
      </w:r>
    </w:p>
    <w:p w14:paraId="4CF183FC" w14:textId="77777777" w:rsidR="00DD4696" w:rsidRDefault="00DD4696" w:rsidP="0001083D">
      <w:pPr>
        <w:pStyle w:val="ListParagraph"/>
        <w:numPr>
          <w:ilvl w:val="0"/>
          <w:numId w:val="19"/>
        </w:numPr>
      </w:pPr>
      <w:r>
        <w:t>External consultants and agencies with access to personal information must enter into privacy agreements with us.</w:t>
      </w:r>
    </w:p>
    <w:p w14:paraId="68614997" w14:textId="77777777" w:rsidR="00DD4696" w:rsidRDefault="00DD4696" w:rsidP="00ED4F7F">
      <w:pPr>
        <w:pStyle w:val="Heading2"/>
      </w:pPr>
      <w:bookmarkStart w:id="30" w:name="_Toc454811799"/>
      <w:r>
        <w:t>Retention and Destruction of Personal Information</w:t>
      </w:r>
      <w:bookmarkEnd w:id="30"/>
    </w:p>
    <w:p w14:paraId="77510709" w14:textId="77777777" w:rsidR="00DD4696" w:rsidRDefault="00DD4696" w:rsidP="00DD4696">
      <w:r>
        <w:t xml:space="preserve">We need to retain personal information for some time to ensure that we can answer any questions you might have about the services provided and for our own accountability to external regulatory bodies. However, </w:t>
      </w:r>
      <w:r w:rsidR="004247B7">
        <w:t xml:space="preserve">in order to protect your privacy, </w:t>
      </w:r>
      <w:r>
        <w:t xml:space="preserve">we do not want to keep personal information </w:t>
      </w:r>
      <w:r w:rsidR="00E059B5">
        <w:t xml:space="preserve">for </w:t>
      </w:r>
      <w:r>
        <w:t>too long.</w:t>
      </w:r>
    </w:p>
    <w:p w14:paraId="7A87D4A9" w14:textId="77777777" w:rsidR="00C943AD" w:rsidRDefault="00DD4696" w:rsidP="00DD4696">
      <w:r>
        <w:lastRenderedPageBreak/>
        <w:t xml:space="preserve">We keep our </w:t>
      </w:r>
      <w:r w:rsidR="00C943AD">
        <w:t>client files for at least ten years from the date of the last client interaction or from the date the client turns 18</w:t>
      </w:r>
      <w:r>
        <w:t xml:space="preserve">. </w:t>
      </w:r>
    </w:p>
    <w:p w14:paraId="47F642EB" w14:textId="77777777" w:rsidR="00DD4696" w:rsidRDefault="00DD4696" w:rsidP="00DD4696">
      <w:r>
        <w:t xml:space="preserve">We destroy paper files containing personal </w:t>
      </w:r>
      <w:r w:rsidR="0085198D">
        <w:t xml:space="preserve">health </w:t>
      </w:r>
      <w:r>
        <w:t>information by</w:t>
      </w:r>
      <w:r w:rsidR="00C554B0">
        <w:t xml:space="preserve"> cross-cut</w:t>
      </w:r>
      <w:r>
        <w:t xml:space="preserve"> shredding. We destroy electronic information by deleting </w:t>
      </w:r>
      <w:r w:rsidR="006F4ED4">
        <w:t xml:space="preserve">it in a manner that it cannot be restored.  When </w:t>
      </w:r>
      <w:r>
        <w:t>hardware is discarded, we ensure</w:t>
      </w:r>
      <w:r w:rsidR="00ED4F7F">
        <w:t xml:space="preserve"> </w:t>
      </w:r>
      <w:r w:rsidR="006F4ED4">
        <w:t xml:space="preserve">that the hardware </w:t>
      </w:r>
      <w:r>
        <w:t>is physically destroyed</w:t>
      </w:r>
      <w:r w:rsidR="006F4ED4">
        <w:t xml:space="preserve"> or the data is erased or overwritten in a manner that </w:t>
      </w:r>
      <w:r w:rsidR="00C943AD">
        <w:t>the information cannot be recovered</w:t>
      </w:r>
      <w:r>
        <w:t xml:space="preserve">. </w:t>
      </w:r>
    </w:p>
    <w:p w14:paraId="4D71FE06" w14:textId="77777777" w:rsidR="00DD4696" w:rsidRDefault="00DD4696" w:rsidP="00ED4F7F">
      <w:pPr>
        <w:pStyle w:val="Heading2"/>
      </w:pPr>
      <w:bookmarkStart w:id="31" w:name="_Toc454811800"/>
      <w:r>
        <w:t xml:space="preserve">You Can Look at Your </w:t>
      </w:r>
      <w:r w:rsidR="0085198D">
        <w:t>Records</w:t>
      </w:r>
      <w:bookmarkEnd w:id="31"/>
    </w:p>
    <w:p w14:paraId="292AFF0D" w14:textId="77777777" w:rsidR="00DD4696" w:rsidRDefault="00DD4696" w:rsidP="00DD4696">
      <w:r>
        <w:t>With only a few exceptions, you have the right to see what personal</w:t>
      </w:r>
      <w:r w:rsidR="003068F3">
        <w:t xml:space="preserve"> information we hold about you, by contacting </w:t>
      </w:r>
      <w:r w:rsidR="003068F3" w:rsidRPr="00440433">
        <w:t>[contact person]</w:t>
      </w:r>
      <w:r w:rsidR="003068F3" w:rsidRPr="003068F3">
        <w:t xml:space="preserve">. </w:t>
      </w:r>
      <w:r>
        <w:t xml:space="preserve">We can help you identify what records we might have about you. We will also try to help you understand any information you do not understand (e.g., short forms, technical language, etc.). We will need to confirm your identity, if we do not know you, before providing you with this access. </w:t>
      </w:r>
      <w:r w:rsidR="004A666C">
        <w:t xml:space="preserve"> </w:t>
      </w:r>
      <w:r>
        <w:t xml:space="preserve">We reserve the right to charge </w:t>
      </w:r>
      <w:r w:rsidR="004A666C" w:rsidRPr="004A666C">
        <w:t xml:space="preserve">$30.00 for the first twenty pages </w:t>
      </w:r>
      <w:r w:rsidR="004A666C">
        <w:t xml:space="preserve">of records </w:t>
      </w:r>
      <w:r w:rsidR="004A666C" w:rsidRPr="004A666C">
        <w:t>and 25 cents for each additional page</w:t>
      </w:r>
      <w:r>
        <w:t>.</w:t>
      </w:r>
    </w:p>
    <w:p w14:paraId="71876B83" w14:textId="77777777" w:rsidR="00DD4696" w:rsidRDefault="003068F3" w:rsidP="00DD4696">
      <w:r>
        <w:t>W</w:t>
      </w:r>
      <w:r w:rsidR="00DD4696">
        <w:t xml:space="preserve">e may ask you to put your request in writing. </w:t>
      </w:r>
      <w:r w:rsidR="00440433">
        <w:t xml:space="preserve">We will respond to your request as soon as possible and generally within 30 days, if at all possible.  </w:t>
      </w:r>
      <w:r w:rsidR="00DD4696">
        <w:t xml:space="preserve">If we cannot give you access, </w:t>
      </w:r>
      <w:r w:rsidR="00440433">
        <w:t xml:space="preserve">we will </w:t>
      </w:r>
      <w:r w:rsidR="00DD4696">
        <w:t>tell you the reason, as best we can, as to why.</w:t>
      </w:r>
    </w:p>
    <w:p w14:paraId="73347FF7" w14:textId="77777777" w:rsidR="00DD4696" w:rsidRDefault="00DD4696" w:rsidP="00DD4696">
      <w:r>
        <w:t>If you believe there is a mistake in the information, you have the right to ask for it to be corrected. This applies to factual information and not to any professional opinions we may have formed. We may ask you to provide documentation that our files are wrong. Where w</w:t>
      </w:r>
      <w:r w:rsidR="003068F3">
        <w:t xml:space="preserve">e agree that we made a mistake </w:t>
      </w:r>
      <w:r>
        <w:t>we will make the correction</w:t>
      </w:r>
      <w:r w:rsidR="00440433">
        <w:t xml:space="preserve">.  At your request and where it is reasonably possible, </w:t>
      </w:r>
      <w:r w:rsidR="003068F3">
        <w:t xml:space="preserve">we will </w:t>
      </w:r>
      <w:r>
        <w:t>notify anyone to whom we sent this information</w:t>
      </w:r>
      <w:r w:rsidR="003068F3">
        <w:t xml:space="preserve"> (</w:t>
      </w:r>
      <w:r w:rsidR="00440433">
        <w:t>but we may deny your request if it</w:t>
      </w:r>
      <w:r w:rsidR="003068F3">
        <w:t xml:space="preserve"> would not reasonably have an effect on the ongoing provision of health care)</w:t>
      </w:r>
      <w:r>
        <w:t>. If we do not agree that we have made a mistake, we will still agree to include in our file a brief statement from you on the point.</w:t>
      </w:r>
    </w:p>
    <w:p w14:paraId="401E1ED7" w14:textId="77777777" w:rsidR="00E65EFD" w:rsidRDefault="00E65EFD" w:rsidP="00ED4F7F">
      <w:pPr>
        <w:pStyle w:val="Heading2"/>
      </w:pPr>
      <w:bookmarkStart w:id="32" w:name="_Toc454811801"/>
      <w:r>
        <w:t xml:space="preserve">If there is a </w:t>
      </w:r>
      <w:r w:rsidR="00D51DC8">
        <w:t>P</w:t>
      </w:r>
      <w:r>
        <w:t xml:space="preserve">rivacy </w:t>
      </w:r>
      <w:r w:rsidR="00D51DC8">
        <w:t>B</w:t>
      </w:r>
      <w:r>
        <w:t>reach</w:t>
      </w:r>
      <w:bookmarkEnd w:id="32"/>
    </w:p>
    <w:p w14:paraId="5E91FE89" w14:textId="77777777" w:rsidR="003068F3" w:rsidRDefault="00D51DC8" w:rsidP="00E65EFD">
      <w:r>
        <w:t xml:space="preserve">While we will take precautions to avoid any breach of your privacy, if </w:t>
      </w:r>
      <w:r w:rsidR="003068F3">
        <w:t xml:space="preserve">there </w:t>
      </w:r>
      <w:r>
        <w:t xml:space="preserve">is </w:t>
      </w:r>
      <w:r w:rsidR="003068F3">
        <w:t>a loss, theft or unauthorized access of your personal health information</w:t>
      </w:r>
      <w:r>
        <w:t xml:space="preserve"> we will notify you</w:t>
      </w:r>
      <w:r w:rsidR="003068F3">
        <w:t xml:space="preserve">. </w:t>
      </w:r>
    </w:p>
    <w:p w14:paraId="21DEC535" w14:textId="77777777" w:rsidR="003068F3" w:rsidRPr="00E65EFD" w:rsidRDefault="003068F3" w:rsidP="00E65EFD">
      <w:r>
        <w:t xml:space="preserve">Upon learning of a </w:t>
      </w:r>
      <w:r w:rsidR="00D51DC8">
        <w:t xml:space="preserve">possible or known </w:t>
      </w:r>
      <w:r>
        <w:t xml:space="preserve">breach, we will </w:t>
      </w:r>
      <w:r w:rsidR="00D51DC8">
        <w:t>take the following steps</w:t>
      </w:r>
      <w:r>
        <w:t xml:space="preserve">: </w:t>
      </w:r>
    </w:p>
    <w:p w14:paraId="7A404A42" w14:textId="77777777" w:rsidR="003068F3" w:rsidRDefault="003068F3" w:rsidP="003068F3">
      <w:pPr>
        <w:pStyle w:val="ListParagraph"/>
        <w:numPr>
          <w:ilvl w:val="0"/>
          <w:numId w:val="21"/>
        </w:numPr>
      </w:pPr>
      <w:r>
        <w:t xml:space="preserve">We will </w:t>
      </w:r>
      <w:r w:rsidRPr="003068F3">
        <w:t>contain the breach to the best of our ability, including by taking the following steps</w:t>
      </w:r>
      <w:r w:rsidR="00963BD7">
        <w:t xml:space="preserve"> if applicable</w:t>
      </w:r>
    </w:p>
    <w:p w14:paraId="0F6DB52C" w14:textId="77777777" w:rsidR="003068F3" w:rsidRDefault="00874597" w:rsidP="003068F3">
      <w:pPr>
        <w:pStyle w:val="ListParagraph"/>
        <w:numPr>
          <w:ilvl w:val="1"/>
          <w:numId w:val="21"/>
        </w:numPr>
      </w:pPr>
      <w:r>
        <w:t>Retrieving</w:t>
      </w:r>
      <w:r w:rsidR="003068F3" w:rsidRPr="003068F3">
        <w:t xml:space="preserve"> hard copies of personal health information that have been disclosed</w:t>
      </w:r>
    </w:p>
    <w:p w14:paraId="7ECC21BC" w14:textId="77777777" w:rsidR="003068F3" w:rsidRDefault="00874597" w:rsidP="003068F3">
      <w:pPr>
        <w:pStyle w:val="ListParagraph"/>
        <w:numPr>
          <w:ilvl w:val="1"/>
          <w:numId w:val="21"/>
        </w:numPr>
      </w:pPr>
      <w:r>
        <w:t>Ensuring</w:t>
      </w:r>
      <w:r w:rsidR="003068F3" w:rsidRPr="003068F3">
        <w:t xml:space="preserve"> no copies have been made</w:t>
      </w:r>
    </w:p>
    <w:p w14:paraId="783737CF" w14:textId="77777777" w:rsidR="003068F3" w:rsidRDefault="00874597" w:rsidP="003068F3">
      <w:pPr>
        <w:pStyle w:val="ListParagraph"/>
        <w:numPr>
          <w:ilvl w:val="1"/>
          <w:numId w:val="21"/>
        </w:numPr>
      </w:pPr>
      <w:r>
        <w:lastRenderedPageBreak/>
        <w:t>Taking</w:t>
      </w:r>
      <w:r w:rsidR="003068F3" w:rsidRPr="003068F3">
        <w:t xml:space="preserve"> steps to prevent unauthorized access to electronic information (e.g., change passwords, </w:t>
      </w:r>
      <w:r w:rsidR="00D973AD">
        <w:t xml:space="preserve">restrict access, </w:t>
      </w:r>
      <w:r w:rsidR="003068F3" w:rsidRPr="003068F3">
        <w:t>temporarily shut down system)</w:t>
      </w:r>
    </w:p>
    <w:p w14:paraId="7964EC9E" w14:textId="77777777" w:rsidR="003068F3" w:rsidRDefault="00874597" w:rsidP="003068F3">
      <w:pPr>
        <w:pStyle w:val="ListParagraph"/>
        <w:numPr>
          <w:ilvl w:val="0"/>
          <w:numId w:val="21"/>
        </w:numPr>
      </w:pPr>
      <w:r>
        <w:t>We will n</w:t>
      </w:r>
      <w:r w:rsidR="003068F3" w:rsidRPr="003068F3">
        <w:t>otify affected individuals</w:t>
      </w:r>
    </w:p>
    <w:p w14:paraId="2FD6634F" w14:textId="77777777" w:rsidR="003068F3" w:rsidRDefault="00874597" w:rsidP="003068F3">
      <w:pPr>
        <w:pStyle w:val="ListParagraph"/>
        <w:numPr>
          <w:ilvl w:val="1"/>
          <w:numId w:val="21"/>
        </w:numPr>
      </w:pPr>
      <w:r>
        <w:t>We will p</w:t>
      </w:r>
      <w:r w:rsidR="003068F3" w:rsidRPr="003068F3">
        <w:t xml:space="preserve">rovide </w:t>
      </w:r>
      <w:r w:rsidR="00440433">
        <w:t xml:space="preserve">our </w:t>
      </w:r>
      <w:r w:rsidR="003068F3" w:rsidRPr="003068F3">
        <w:t>contact information in case the individual has further questions</w:t>
      </w:r>
    </w:p>
    <w:p w14:paraId="4EAC958E" w14:textId="77777777" w:rsidR="003068F3" w:rsidRDefault="00874597" w:rsidP="003068F3">
      <w:pPr>
        <w:pStyle w:val="ListParagraph"/>
        <w:numPr>
          <w:ilvl w:val="1"/>
          <w:numId w:val="21"/>
        </w:numPr>
      </w:pPr>
      <w:r>
        <w:t>We will p</w:t>
      </w:r>
      <w:r w:rsidR="003068F3" w:rsidRPr="003068F3">
        <w:t>rovide the Commissioner’s contact information</w:t>
      </w:r>
      <w:r w:rsidR="00963BD7">
        <w:t xml:space="preserve"> and advise the affected individual of their right to complain to the Commissioner</w:t>
      </w:r>
    </w:p>
    <w:p w14:paraId="4DF249D8" w14:textId="77777777" w:rsidR="003068F3" w:rsidRDefault="00874597" w:rsidP="003068F3">
      <w:pPr>
        <w:pStyle w:val="ListParagraph"/>
        <w:numPr>
          <w:ilvl w:val="0"/>
          <w:numId w:val="21"/>
        </w:numPr>
      </w:pPr>
      <w:r>
        <w:t>We will i</w:t>
      </w:r>
      <w:r w:rsidR="003068F3" w:rsidRPr="003068F3">
        <w:t>nvestigate and remediate the problem</w:t>
      </w:r>
      <w:r>
        <w:t>, by:</w:t>
      </w:r>
    </w:p>
    <w:p w14:paraId="6307B477" w14:textId="77777777" w:rsidR="003068F3" w:rsidRDefault="003068F3" w:rsidP="003068F3">
      <w:pPr>
        <w:pStyle w:val="ListParagraph"/>
        <w:numPr>
          <w:ilvl w:val="1"/>
          <w:numId w:val="21"/>
        </w:numPr>
      </w:pPr>
      <w:r w:rsidRPr="003068F3">
        <w:t>Conduct</w:t>
      </w:r>
      <w:r w:rsidR="00874597">
        <w:t>ing</w:t>
      </w:r>
      <w:r w:rsidRPr="003068F3">
        <w:t xml:space="preserve"> an internal investigation </w:t>
      </w:r>
    </w:p>
    <w:p w14:paraId="39A320A2" w14:textId="77777777" w:rsidR="003068F3" w:rsidRDefault="003068F3" w:rsidP="003068F3">
      <w:pPr>
        <w:pStyle w:val="ListParagraph"/>
        <w:numPr>
          <w:ilvl w:val="1"/>
          <w:numId w:val="21"/>
        </w:numPr>
      </w:pPr>
      <w:r w:rsidRPr="003068F3">
        <w:t>Determin</w:t>
      </w:r>
      <w:r w:rsidR="00874597">
        <w:t>ing</w:t>
      </w:r>
      <w:r w:rsidRPr="003068F3">
        <w:t xml:space="preserve"> what steps should be taken to prevent future breaches (e.g. changes to policies</w:t>
      </w:r>
      <w:r w:rsidR="00D51DC8">
        <w:t>, additional safeguards</w:t>
      </w:r>
      <w:r w:rsidRPr="003068F3">
        <w:t>)</w:t>
      </w:r>
    </w:p>
    <w:p w14:paraId="4227B3CE" w14:textId="77777777" w:rsidR="00E65EFD" w:rsidRDefault="00874597" w:rsidP="003068F3">
      <w:pPr>
        <w:pStyle w:val="ListParagraph"/>
        <w:numPr>
          <w:ilvl w:val="1"/>
          <w:numId w:val="21"/>
        </w:numPr>
      </w:pPr>
      <w:r>
        <w:t>Ensuring</w:t>
      </w:r>
      <w:r w:rsidR="003068F3">
        <w:t xml:space="preserve"> staff </w:t>
      </w:r>
      <w:r w:rsidR="002C6FEB">
        <w:t>is</w:t>
      </w:r>
      <w:r w:rsidR="003068F3">
        <w:t xml:space="preserve"> appropriately trained and conduct further training if required</w:t>
      </w:r>
    </w:p>
    <w:p w14:paraId="0829AE38" w14:textId="77777777" w:rsidR="003068F3" w:rsidRPr="00E65EFD" w:rsidRDefault="003068F3" w:rsidP="003068F3">
      <w:r>
        <w:t xml:space="preserve">Depending on the circumstances of the breach, we may notify and work with the Information and </w:t>
      </w:r>
      <w:r w:rsidR="00440433">
        <w:t>Privacy Commissioner of Ontario.</w:t>
      </w:r>
      <w:r w:rsidR="00271AC4">
        <w:t xml:space="preserve">  </w:t>
      </w:r>
      <w:r w:rsidR="00963BD7">
        <w:t>If we take disciplinary action against one of our practitioners [or revoke or restrict the privileges or affiliation of one of our practitioners] for a privacy breach, we are required to report that to the practitioner’s regulatory College. W</w:t>
      </w:r>
      <w:r w:rsidR="00271AC4">
        <w:t xml:space="preserve">e may </w:t>
      </w:r>
      <w:r w:rsidR="00963BD7">
        <w:t xml:space="preserve">also </w:t>
      </w:r>
      <w:r w:rsidR="00271AC4">
        <w:t xml:space="preserve">report the breach to the relevant regulatory College if we believe </w:t>
      </w:r>
      <w:r w:rsidR="00D973AD">
        <w:t xml:space="preserve">that </w:t>
      </w:r>
      <w:r w:rsidR="00271AC4">
        <w:t>it was the result of professional misconduct, incompetence or incapacity</w:t>
      </w:r>
      <w:r w:rsidR="00963BD7">
        <w:t>.</w:t>
      </w:r>
    </w:p>
    <w:p w14:paraId="420D5FA7" w14:textId="77777777" w:rsidR="00DD4696" w:rsidRDefault="00DD4696" w:rsidP="00ED4F7F">
      <w:pPr>
        <w:pStyle w:val="Heading2"/>
      </w:pPr>
      <w:bookmarkStart w:id="33" w:name="_Toc454811802"/>
      <w:r>
        <w:t>Do You Have Question</w:t>
      </w:r>
      <w:r w:rsidR="003068F3">
        <w:t>s</w:t>
      </w:r>
      <w:r w:rsidR="00ED4F7F">
        <w:t xml:space="preserve"> or Concern</w:t>
      </w:r>
      <w:r w:rsidR="003068F3">
        <w:t>s</w:t>
      </w:r>
      <w:r>
        <w:t>?</w:t>
      </w:r>
      <w:bookmarkEnd w:id="33"/>
    </w:p>
    <w:p w14:paraId="161B642F" w14:textId="77777777" w:rsidR="00DD4696" w:rsidRDefault="00DD4696" w:rsidP="00DD4696">
      <w:r>
        <w:t xml:space="preserve">Our Information Officer, </w:t>
      </w:r>
      <w:r w:rsidR="00ED4F7F">
        <w:t>[name]</w:t>
      </w:r>
      <w:r>
        <w:t>, can be reached at:</w:t>
      </w:r>
    </w:p>
    <w:p w14:paraId="33DF22BC" w14:textId="77777777" w:rsidR="00DD4696" w:rsidRDefault="00ED4F7F" w:rsidP="00DD4696">
      <w:r>
        <w:t>[contact information]</w:t>
      </w:r>
    </w:p>
    <w:p w14:paraId="124460F7" w14:textId="77777777" w:rsidR="00DD4696" w:rsidRDefault="00ED4F7F" w:rsidP="00DD4696">
      <w:proofErr w:type="spellStart"/>
      <w:r>
        <w:t>He/</w:t>
      </w:r>
      <w:r w:rsidR="00DD4696">
        <w:t>She</w:t>
      </w:r>
      <w:proofErr w:type="spellEnd"/>
      <w:r w:rsidR="00DD4696">
        <w:t xml:space="preserve"> will attempt to answer any questions or concerns you might have.</w:t>
      </w:r>
    </w:p>
    <w:p w14:paraId="64488EF6" w14:textId="77777777" w:rsidR="00DD4696" w:rsidRDefault="00DD4696" w:rsidP="00DD4696">
      <w:r>
        <w:t xml:space="preserve">If you wish to make a formal complaint about our privacy practices, you may make it in writing to our Information Officer. </w:t>
      </w:r>
      <w:proofErr w:type="spellStart"/>
      <w:r w:rsidR="00ED4F7F">
        <w:t>He/</w:t>
      </w:r>
      <w:r>
        <w:t>She</w:t>
      </w:r>
      <w:proofErr w:type="spellEnd"/>
      <w:r>
        <w:t xml:space="preserve"> will acknowledge receipt of your complaint, </w:t>
      </w:r>
      <w:r w:rsidR="004247B7">
        <w:t xml:space="preserve">and </w:t>
      </w:r>
      <w:r>
        <w:t>ensure that it is investigated promptly and that you are provided with a formal decision and reasons in writing.</w:t>
      </w:r>
    </w:p>
    <w:p w14:paraId="4EA16C27" w14:textId="77777777" w:rsidR="00ED4F7F" w:rsidRDefault="00ED4F7F" w:rsidP="00ED4F7F">
      <w:r>
        <w:t>You also have the right to complain to the Information and Privacy Commissioner of Ontario if you have concerns about our privacy practices or how your personal health information has been handled, by contacting:</w:t>
      </w:r>
    </w:p>
    <w:p w14:paraId="21BEE684" w14:textId="77777777" w:rsidR="00ED4F7F" w:rsidRDefault="00ED4F7F" w:rsidP="00ED4F7F">
      <w:r>
        <w:t>Information and Privacy Commissioner/Ontario</w:t>
      </w:r>
      <w:r>
        <w:br/>
        <w:t>2 Bloor Street East, Suite 1400</w:t>
      </w:r>
      <w:r>
        <w:br/>
        <w:t xml:space="preserve">Toronto, Ontario M4W 1A8 </w:t>
      </w:r>
      <w:r>
        <w:br/>
        <w:t>Telephone: Toronto Area (416/local 905): (416) 326-3333</w:t>
      </w:r>
      <w:r>
        <w:br/>
      </w:r>
      <w:r>
        <w:lastRenderedPageBreak/>
        <w:t>Long Distance: 1 (800) 387-0073 (within Ontario)</w:t>
      </w:r>
      <w:r>
        <w:br/>
        <w:t>TDD/TTY: (416) 325-7539</w:t>
      </w:r>
      <w:r>
        <w:br/>
        <w:t>FAX: (416) 325-9195</w:t>
      </w:r>
      <w:r>
        <w:br/>
        <w:t>www.ipc.on.ca</w:t>
      </w:r>
    </w:p>
    <w:p w14:paraId="339E2155" w14:textId="77777777" w:rsidR="00BA4EB3" w:rsidRDefault="00DD4696" w:rsidP="00DD4696">
      <w:r>
        <w:t xml:space="preserve">This policy is made under the </w:t>
      </w:r>
      <w:r w:rsidR="00ED4F7F">
        <w:rPr>
          <w:i/>
        </w:rPr>
        <w:t>Personal Health Information Protection Act, 2004</w:t>
      </w:r>
      <w:r w:rsidR="00ED4F7F">
        <w:t>, S.O. 2004, c. 3</w:t>
      </w:r>
      <w:r>
        <w:t xml:space="preserve">. </w:t>
      </w:r>
      <w:r w:rsidR="00440433">
        <w:t>It</w:t>
      </w:r>
      <w:r>
        <w:t xml:space="preserve"> is a complex </w:t>
      </w:r>
      <w:r w:rsidR="003C57D1">
        <w:t>statute</w:t>
      </w:r>
      <w:r>
        <w:t xml:space="preserve"> and provides some additional exceptions to the privacy principles that are too detailed to set out here. </w:t>
      </w:r>
    </w:p>
    <w:p w14:paraId="54718960" w14:textId="77777777" w:rsidR="00BA4EB3" w:rsidRDefault="00BA4EB3">
      <w:r>
        <w:br w:type="page"/>
      </w:r>
    </w:p>
    <w:p w14:paraId="22B01D5D" w14:textId="77777777" w:rsidR="00DD4696" w:rsidRDefault="00BA4EB3" w:rsidP="00BA4EB3">
      <w:pPr>
        <w:pStyle w:val="Heading1"/>
      </w:pPr>
      <w:bookmarkStart w:id="34" w:name="_Toc454811803"/>
      <w:r>
        <w:lastRenderedPageBreak/>
        <w:t xml:space="preserve">Form 3: </w:t>
      </w:r>
      <w:r w:rsidR="00F574AC">
        <w:t xml:space="preserve">Sample </w:t>
      </w:r>
      <w:r>
        <w:t>Consent Form</w:t>
      </w:r>
      <w:bookmarkEnd w:id="34"/>
      <w:r>
        <w:t xml:space="preserve"> </w:t>
      </w:r>
    </w:p>
    <w:tbl>
      <w:tblPr>
        <w:tblStyle w:val="TableGrid"/>
        <w:tblW w:w="0" w:type="auto"/>
        <w:tblLook w:val="04A0" w:firstRow="1" w:lastRow="0" w:firstColumn="1" w:lastColumn="0" w:noHBand="0" w:noVBand="1"/>
      </w:tblPr>
      <w:tblGrid>
        <w:gridCol w:w="9350"/>
      </w:tblGrid>
      <w:tr w:rsidR="009A05DD" w14:paraId="5151A236" w14:textId="77777777" w:rsidTr="009A05DD">
        <w:tc>
          <w:tcPr>
            <w:tcW w:w="9576" w:type="dxa"/>
          </w:tcPr>
          <w:p w14:paraId="59634B6E" w14:textId="77777777" w:rsidR="009A05DD" w:rsidRPr="009A05DD" w:rsidRDefault="009A05DD" w:rsidP="009A05DD">
            <w:pPr>
              <w:rPr>
                <w:i/>
              </w:rPr>
            </w:pPr>
            <w:r>
              <w:rPr>
                <w:i/>
              </w:rPr>
              <w:t xml:space="preserve">This form can be used when your organization seeks </w:t>
            </w:r>
            <w:r w:rsidRPr="00D51DC8">
              <w:rPr>
                <w:i/>
              </w:rPr>
              <w:t>express consent</w:t>
            </w:r>
            <w:r>
              <w:rPr>
                <w:i/>
              </w:rPr>
              <w:t xml:space="preserve"> to collect, use or disclose personal health information. </w:t>
            </w:r>
            <w:r w:rsidR="001544EB">
              <w:rPr>
                <w:i/>
              </w:rPr>
              <w:t>This form may be combined with your organization’s usual consent to treatment and/or consent to the costs of services forms.</w:t>
            </w:r>
          </w:p>
        </w:tc>
      </w:tr>
    </w:tbl>
    <w:p w14:paraId="0AECC543" w14:textId="77777777" w:rsidR="001544EB" w:rsidRPr="00743272" w:rsidRDefault="001544EB" w:rsidP="00C720B8">
      <w:pPr>
        <w:spacing w:before="120" w:after="60"/>
        <w:jc w:val="center"/>
        <w:rPr>
          <w:b/>
          <w:sz w:val="22"/>
        </w:rPr>
      </w:pPr>
      <w:r w:rsidRPr="00743272">
        <w:rPr>
          <w:b/>
          <w:sz w:val="22"/>
        </w:rPr>
        <w:t>Consent to the Collection, Use and Disclosure of Personal Health Information</w:t>
      </w:r>
    </w:p>
    <w:p w14:paraId="38585FE6" w14:textId="77777777" w:rsidR="009A05DD" w:rsidRPr="00743272" w:rsidRDefault="001544EB" w:rsidP="009A05DD">
      <w:pPr>
        <w:rPr>
          <w:sz w:val="22"/>
        </w:rPr>
      </w:pPr>
      <w:r w:rsidRPr="00743272">
        <w:rPr>
          <w:i/>
          <w:sz w:val="22"/>
        </w:rPr>
        <w:t xml:space="preserve">Note to client: We want your informed consent. We want you to understand what we do with the personal health information we collect about you.  Please ensure that you have read and understood our written statement, “Our Privacy Commitment to You”. If you have any questions, please ask. </w:t>
      </w:r>
    </w:p>
    <w:p w14:paraId="3163DC1D" w14:textId="77777777" w:rsidR="001544EB" w:rsidRPr="00743272" w:rsidRDefault="001544EB" w:rsidP="009A05DD">
      <w:pPr>
        <w:rPr>
          <w:sz w:val="22"/>
        </w:rPr>
      </w:pPr>
      <w:r w:rsidRPr="00743272">
        <w:rPr>
          <w:sz w:val="22"/>
        </w:rPr>
        <w:t>I, _____________________, understand that to provide me with [type of health care goods or services], [name of organization] will collect personal information about me (e.g., birth date, home contact information, health history, etc.).</w:t>
      </w:r>
    </w:p>
    <w:p w14:paraId="5F000B0B" w14:textId="77777777" w:rsidR="001544EB" w:rsidRPr="00743272" w:rsidRDefault="001544EB" w:rsidP="009A05DD">
      <w:pPr>
        <w:rPr>
          <w:sz w:val="22"/>
        </w:rPr>
      </w:pPr>
      <w:r w:rsidRPr="00743272">
        <w:rPr>
          <w:sz w:val="22"/>
        </w:rPr>
        <w:t>I have reviewed the [organization’s] written statement on the collection, use and disclosure of personal health information.  I understand how the written statement applies to me.  I have been given a chance to ask questions about the [organization’s]</w:t>
      </w:r>
      <w:r w:rsidR="003343B9" w:rsidRPr="00743272">
        <w:rPr>
          <w:sz w:val="22"/>
        </w:rPr>
        <w:t xml:space="preserve"> privacy policies and they have been answered to my satisfaction. </w:t>
      </w:r>
    </w:p>
    <w:p w14:paraId="1FB47BEA" w14:textId="77777777" w:rsidR="003343B9" w:rsidRPr="00743272" w:rsidRDefault="00DF3A02" w:rsidP="009A05DD">
      <w:pPr>
        <w:rPr>
          <w:sz w:val="22"/>
        </w:rPr>
      </w:pPr>
      <w:r w:rsidRPr="00743272">
        <w:rPr>
          <w:sz w:val="22"/>
        </w:rPr>
        <w:t xml:space="preserve">I understand that the [organization] will only collect, use or disclose my personal health information with my express or implied consent, unless a collection, use or disclosure without consent is permitted or required by law.  </w:t>
      </w:r>
    </w:p>
    <w:p w14:paraId="6A028E75" w14:textId="77777777" w:rsidR="003343B9" w:rsidRPr="00743272" w:rsidRDefault="003343B9" w:rsidP="009A05DD">
      <w:pPr>
        <w:rPr>
          <w:sz w:val="22"/>
        </w:rPr>
      </w:pPr>
      <w:r w:rsidRPr="00743272">
        <w:rPr>
          <w:sz w:val="22"/>
        </w:rPr>
        <w:t xml:space="preserve">I </w:t>
      </w:r>
      <w:r w:rsidR="00FC1FEF">
        <w:rPr>
          <w:sz w:val="22"/>
        </w:rPr>
        <w:t xml:space="preserve">further </w:t>
      </w:r>
      <w:r w:rsidRPr="00743272">
        <w:rPr>
          <w:sz w:val="22"/>
        </w:rPr>
        <w:t>authorize the [organization] to collect, use and disclose my personal health information for the following purposes</w:t>
      </w:r>
      <w:r w:rsidR="00743272" w:rsidRPr="00743272">
        <w:rPr>
          <w:sz w:val="22"/>
        </w:rPr>
        <w:t xml:space="preserve"> (</w:t>
      </w:r>
      <w:r w:rsidR="00743272" w:rsidRPr="00743272">
        <w:rPr>
          <w:i/>
          <w:sz w:val="22"/>
        </w:rPr>
        <w:t>indicate your consent by checking the applicable box(es)</w:t>
      </w:r>
      <w:r w:rsidR="00743272" w:rsidRPr="00743272">
        <w:rPr>
          <w:sz w:val="22"/>
        </w:rPr>
        <w:t>)</w:t>
      </w:r>
      <w:r w:rsidRPr="00743272">
        <w:rPr>
          <w:sz w:val="22"/>
        </w:rPr>
        <w:t>:</w:t>
      </w:r>
    </w:p>
    <w:p w14:paraId="7F1FFF28" w14:textId="77777777" w:rsidR="00FC1FEF" w:rsidRDefault="00FC1FEF" w:rsidP="003343B9">
      <w:pPr>
        <w:pStyle w:val="Checklistbullet"/>
        <w:rPr>
          <w:sz w:val="22"/>
        </w:rPr>
      </w:pPr>
      <w:r>
        <w:rPr>
          <w:sz w:val="22"/>
        </w:rPr>
        <w:t>to use or disclose your personal health number to verify your identity or to access other personal health records about you in order to provide health care services to you</w:t>
      </w:r>
      <w:r w:rsidR="00070F87">
        <w:rPr>
          <w:rStyle w:val="FootnoteReference"/>
          <w:sz w:val="22"/>
        </w:rPr>
        <w:footnoteReference w:id="14"/>
      </w:r>
    </w:p>
    <w:p w14:paraId="098CADE0" w14:textId="77777777" w:rsidR="003343B9" w:rsidRPr="00743272" w:rsidRDefault="003343B9" w:rsidP="003343B9">
      <w:pPr>
        <w:pStyle w:val="Checklistbullet"/>
        <w:rPr>
          <w:sz w:val="22"/>
        </w:rPr>
      </w:pPr>
      <w:r w:rsidRPr="00743272">
        <w:rPr>
          <w:sz w:val="22"/>
        </w:rPr>
        <w:t>to fundraise for the organization</w:t>
      </w:r>
    </w:p>
    <w:p w14:paraId="74F72617" w14:textId="77777777" w:rsidR="003343B9" w:rsidRPr="00743272" w:rsidRDefault="003343B9" w:rsidP="003343B9">
      <w:pPr>
        <w:pStyle w:val="Checklistbullet"/>
        <w:rPr>
          <w:sz w:val="22"/>
        </w:rPr>
      </w:pPr>
      <w:r w:rsidRPr="00743272">
        <w:rPr>
          <w:sz w:val="22"/>
        </w:rPr>
        <w:t>to notify me of new services or goods available at the [organization]</w:t>
      </w:r>
    </w:p>
    <w:p w14:paraId="487D37A4" w14:textId="77777777" w:rsidR="003343B9" w:rsidRPr="00743272" w:rsidRDefault="003343B9" w:rsidP="003343B9">
      <w:pPr>
        <w:pStyle w:val="Checklistbullet"/>
        <w:rPr>
          <w:sz w:val="22"/>
        </w:rPr>
      </w:pPr>
      <w:r w:rsidRPr="00743272">
        <w:rPr>
          <w:sz w:val="22"/>
        </w:rPr>
        <w:t xml:space="preserve">to notify me of special events and opportunities at the [organization] (e.g. a seminar or conference) </w:t>
      </w:r>
    </w:p>
    <w:p w14:paraId="6BCB9729" w14:textId="39F2A1BB" w:rsidR="00DF3A02" w:rsidRPr="00380699" w:rsidRDefault="003343B9" w:rsidP="00380699">
      <w:pPr>
        <w:pStyle w:val="Checklistbullet"/>
        <w:rPr>
          <w:sz w:val="22"/>
        </w:rPr>
      </w:pPr>
      <w:r w:rsidRPr="00743272">
        <w:rPr>
          <w:sz w:val="22"/>
        </w:rPr>
        <w:t>[</w:t>
      </w:r>
      <w:r w:rsidR="00D51DC8">
        <w:rPr>
          <w:sz w:val="22"/>
        </w:rPr>
        <w:t xml:space="preserve">add </w:t>
      </w:r>
      <w:r w:rsidRPr="00743272">
        <w:rPr>
          <w:sz w:val="22"/>
        </w:rPr>
        <w:t>any other purposes that require express consent]</w:t>
      </w:r>
    </w:p>
    <w:p w14:paraId="602B6F9B" w14:textId="5379709A" w:rsidR="00743272" w:rsidRPr="00743272" w:rsidRDefault="00743272" w:rsidP="00C720B8">
      <w:pPr>
        <w:pStyle w:val="Checklistbullet"/>
        <w:numPr>
          <w:ilvl w:val="0"/>
          <w:numId w:val="0"/>
        </w:numPr>
        <w:spacing w:before="120" w:after="60"/>
        <w:rPr>
          <w:sz w:val="22"/>
        </w:rPr>
      </w:pPr>
      <w:r w:rsidRPr="00743272">
        <w:rPr>
          <w:sz w:val="22"/>
        </w:rPr>
        <w:t>I understand that I can withdraw my consent at any time by contacting: [contact person].</w:t>
      </w:r>
    </w:p>
    <w:p w14:paraId="3A717D98" w14:textId="4B01D803" w:rsidR="00DF3A02" w:rsidRPr="00743272" w:rsidRDefault="00DF3A02" w:rsidP="00C720B8">
      <w:pPr>
        <w:pStyle w:val="Checklistbullet"/>
        <w:numPr>
          <w:ilvl w:val="0"/>
          <w:numId w:val="0"/>
        </w:numPr>
        <w:spacing w:before="120" w:after="60"/>
        <w:rPr>
          <w:sz w:val="22"/>
        </w:rPr>
      </w:pPr>
      <w:r w:rsidRPr="00743272">
        <w:rPr>
          <w:sz w:val="22"/>
        </w:rPr>
        <w:t xml:space="preserve">I agree to [organization] collecting, using and disclosing personal health information about me as set out above and in the written statement. </w:t>
      </w:r>
      <w:r w:rsidR="00380699">
        <w:rPr>
          <w:sz w:val="22"/>
        </w:rPr>
        <w:br/>
      </w:r>
    </w:p>
    <w:p w14:paraId="2EEBF262" w14:textId="195C153D" w:rsidR="003343B9" w:rsidRPr="001544EB" w:rsidRDefault="00DF3A02" w:rsidP="00DF3A02">
      <w:pPr>
        <w:pStyle w:val="Checklistbullet"/>
        <w:numPr>
          <w:ilvl w:val="0"/>
          <w:numId w:val="0"/>
        </w:numPr>
      </w:pPr>
      <w:r w:rsidRPr="00743272">
        <w:rPr>
          <w:sz w:val="22"/>
        </w:rPr>
        <w:t>Signature: ___________________</w:t>
      </w:r>
      <w:r w:rsidRPr="00743272">
        <w:rPr>
          <w:sz w:val="22"/>
        </w:rPr>
        <w:tab/>
      </w:r>
      <w:r w:rsidRPr="00743272">
        <w:rPr>
          <w:sz w:val="22"/>
        </w:rPr>
        <w:tab/>
        <w:t>Printed Name: ___________________</w:t>
      </w:r>
      <w:r w:rsidRPr="00743272">
        <w:rPr>
          <w:sz w:val="22"/>
        </w:rPr>
        <w:br/>
        <w:t xml:space="preserve">Date: </w:t>
      </w:r>
      <w:r w:rsidR="00380699">
        <w:rPr>
          <w:sz w:val="22"/>
        </w:rPr>
        <w:tab/>
        <w:t xml:space="preserve">    </w:t>
      </w:r>
      <w:r w:rsidRPr="00743272">
        <w:rPr>
          <w:sz w:val="22"/>
        </w:rPr>
        <w:t>___________________</w:t>
      </w:r>
    </w:p>
    <w:sectPr w:rsidR="003343B9" w:rsidRPr="001544EB" w:rsidSect="00424DCF">
      <w:headerReference w:type="default" r:id="rId13"/>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8D550" w14:textId="77777777" w:rsidR="00C24FFB" w:rsidRDefault="00C24FFB" w:rsidP="003828CF">
      <w:pPr>
        <w:spacing w:after="0" w:line="240" w:lineRule="auto"/>
      </w:pPr>
      <w:r>
        <w:separator/>
      </w:r>
    </w:p>
  </w:endnote>
  <w:endnote w:type="continuationSeparator" w:id="0">
    <w:p w14:paraId="74359C5C" w14:textId="77777777" w:rsidR="00C24FFB" w:rsidRDefault="00C24FFB" w:rsidP="0038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B025E" w14:textId="0F91331E" w:rsidR="00380699" w:rsidRDefault="00380699">
    <w:pPr>
      <w:pStyle w:val="Footer"/>
      <w:jc w:val="right"/>
    </w:pPr>
    <w:r>
      <w:rPr>
        <w:noProof/>
      </w:rPr>
      <mc:AlternateContent>
        <mc:Choice Requires="wps">
          <w:drawing>
            <wp:anchor distT="45720" distB="45720" distL="114300" distR="114300" simplePos="0" relativeHeight="251659264" behindDoc="0" locked="0" layoutInCell="1" allowOverlap="1" wp14:anchorId="5062CECE" wp14:editId="1994EFF7">
              <wp:simplePos x="0" y="0"/>
              <wp:positionH relativeFrom="margin">
                <wp:posOffset>-139700</wp:posOffset>
              </wp:positionH>
              <wp:positionV relativeFrom="paragraph">
                <wp:posOffset>-17780</wp:posOffset>
              </wp:positionV>
              <wp:extent cx="5422900" cy="10543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054310"/>
                      </a:xfrm>
                      <a:prstGeom prst="rect">
                        <a:avLst/>
                      </a:prstGeom>
                      <a:noFill/>
                      <a:ln w="9525">
                        <a:noFill/>
                        <a:miter lim="800000"/>
                        <a:headEnd/>
                        <a:tailEnd/>
                      </a:ln>
                    </wps:spPr>
                    <wps:txbx>
                      <w:txbxContent>
                        <w:p w14:paraId="041B7F84" w14:textId="77777777" w:rsidR="00380699" w:rsidRPr="00380699" w:rsidRDefault="00380699" w:rsidP="00380699">
                          <w:pPr>
                            <w:pStyle w:val="Footer"/>
                            <w:rPr>
                              <w:i/>
                              <w:iCs/>
                              <w:sz w:val="20"/>
                              <w:szCs w:val="20"/>
                            </w:rPr>
                          </w:pPr>
                          <w:r w:rsidRPr="00380699">
                            <w:rPr>
                              <w:i/>
                              <w:iCs/>
                              <w:sz w:val="20"/>
                              <w:szCs w:val="20"/>
                            </w:rPr>
                            <w:t>The Personal Health Information Protection Act, 2004: A Guide for Regulated Health Professionals</w:t>
                          </w:r>
                        </w:p>
                        <w:p w14:paraId="2DF79EBB" w14:textId="77777777" w:rsidR="00380699" w:rsidRDefault="00380699" w:rsidP="003806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62CECE" id="_x0000_t202" coordsize="21600,21600" o:spt="202" path="m,l,21600r21600,l21600,xe">
              <v:stroke joinstyle="miter"/>
              <v:path gradientshapeok="t" o:connecttype="rect"/>
            </v:shapetype>
            <v:shape id="Text Box 2" o:spid="_x0000_s1026" type="#_x0000_t202" style="position:absolute;left:0;text-align:left;margin-left:-11pt;margin-top:-1.4pt;width:427pt;height:8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" filled="f" stroked="f">
              <v:textbox>
                <w:txbxContent>
                  <w:p w14:paraId="041B7F84" w14:textId="77777777" w:rsidR="00380699" w:rsidRPr="00380699" w:rsidRDefault="00380699" w:rsidP="00380699">
                    <w:pPr>
                      <w:pStyle w:val="Footer"/>
                      <w:rPr>
                        <w:i/>
                        <w:iCs/>
                        <w:sz w:val="20"/>
                        <w:szCs w:val="20"/>
                      </w:rPr>
                    </w:pPr>
                    <w:r w:rsidRPr="00380699">
                      <w:rPr>
                        <w:i/>
                        <w:iCs/>
                        <w:sz w:val="20"/>
                        <w:szCs w:val="20"/>
                      </w:rPr>
                      <w:t>The Personal Health Information Protection Act, 2004: A Guide for Regulated Health Professionals</w:t>
                    </w:r>
                  </w:p>
                  <w:p w14:paraId="2DF79EBB" w14:textId="77777777" w:rsidR="00380699" w:rsidRDefault="00380699" w:rsidP="00380699"/>
                </w:txbxContent>
              </v:textbox>
              <w10:wrap anchorx="margin"/>
            </v:shape>
          </w:pict>
        </mc:Fallback>
      </mc:AlternateContent>
    </w:r>
    <w:sdt>
      <w:sdtPr>
        <w:id w:val="-19234051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B763F9" w14:textId="7BD1E92B" w:rsidR="00380699" w:rsidRDefault="00380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FB495" w14:textId="5676B062" w:rsidR="00380699" w:rsidRDefault="00CE0576">
    <w:pPr>
      <w:pStyle w:val="Footer"/>
      <w:jc w:val="right"/>
    </w:pPr>
    <w:sdt>
      <w:sdtPr>
        <w:id w:val="-325512773"/>
        <w:docPartObj>
          <w:docPartGallery w:val="Page Numbers (Bottom of Page)"/>
          <w:docPartUnique/>
        </w:docPartObj>
      </w:sdtPr>
      <w:sdtEndPr>
        <w:rPr>
          <w:noProof/>
        </w:rPr>
      </w:sdtEndPr>
      <w:sdtContent>
        <w:r w:rsidR="00380699">
          <w:fldChar w:fldCharType="begin"/>
        </w:r>
        <w:r w:rsidR="00380699">
          <w:instrText xml:space="preserve"> PAGE   \* MERGEFORMAT </w:instrText>
        </w:r>
        <w:r w:rsidR="00380699">
          <w:fldChar w:fldCharType="separate"/>
        </w:r>
        <w:r w:rsidR="00380699">
          <w:rPr>
            <w:noProof/>
          </w:rPr>
          <w:t>2</w:t>
        </w:r>
        <w:r w:rsidR="00380699">
          <w:rPr>
            <w:noProof/>
          </w:rPr>
          <w:fldChar w:fldCharType="end"/>
        </w:r>
      </w:sdtContent>
    </w:sdt>
  </w:p>
  <w:p w14:paraId="68972B80" w14:textId="0AB0E98C" w:rsidR="00380699" w:rsidRDefault="00380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4CDF" w14:textId="77777777" w:rsidR="00C24FFB" w:rsidRDefault="00C24FFB" w:rsidP="003828CF">
      <w:pPr>
        <w:spacing w:after="0" w:line="240" w:lineRule="auto"/>
      </w:pPr>
      <w:r>
        <w:separator/>
      </w:r>
    </w:p>
  </w:footnote>
  <w:footnote w:type="continuationSeparator" w:id="0">
    <w:p w14:paraId="1FBAEC55" w14:textId="77777777" w:rsidR="00C24FFB" w:rsidRDefault="00C24FFB" w:rsidP="003828CF">
      <w:pPr>
        <w:spacing w:after="0" w:line="240" w:lineRule="auto"/>
      </w:pPr>
      <w:r>
        <w:continuationSeparator/>
      </w:r>
    </w:p>
  </w:footnote>
  <w:footnote w:id="1">
    <w:p w14:paraId="7B06FFC3" w14:textId="77777777" w:rsidR="00C24FFB" w:rsidRPr="005660AC" w:rsidRDefault="00C24FFB" w:rsidP="00300853">
      <w:pPr>
        <w:pStyle w:val="FootnoteText"/>
        <w:rPr>
          <w:color w:val="0000FF" w:themeColor="hyperlink"/>
          <w:u w:val="single"/>
        </w:rPr>
      </w:pPr>
      <w:r>
        <w:rPr>
          <w:rStyle w:val="FootnoteReference"/>
        </w:rPr>
        <w:footnoteRef/>
      </w:r>
      <w:r>
        <w:t xml:space="preserve"> </w:t>
      </w:r>
      <w:r w:rsidRPr="003B1964">
        <w:t>S.C. 2000, c. 5</w:t>
      </w:r>
      <w:r>
        <w:t xml:space="preserve">, available online: </w:t>
      </w:r>
      <w:hyperlink r:id="rId1" w:history="1">
        <w:r w:rsidRPr="00C17007">
          <w:rPr>
            <w:rStyle w:val="Hyperlink"/>
          </w:rPr>
          <w:t>http://laws-lois.justice.gc.ca/eng/acts/P-8.6/index.html</w:t>
        </w:r>
      </w:hyperlink>
    </w:p>
  </w:footnote>
  <w:footnote w:id="2">
    <w:p w14:paraId="568ED2E6" w14:textId="460C5391" w:rsidR="00C24FFB" w:rsidRDefault="00C24FFB">
      <w:pPr>
        <w:pStyle w:val="FootnoteText"/>
      </w:pPr>
      <w:r>
        <w:rPr>
          <w:rStyle w:val="FootnoteReference"/>
        </w:rPr>
        <w:footnoteRef/>
      </w:r>
      <w:r>
        <w:t xml:space="preserve"> </w:t>
      </w:r>
      <w:r w:rsidRPr="00280649">
        <w:rPr>
          <w:i/>
        </w:rPr>
        <w:t>Jones v Tsige</w:t>
      </w:r>
      <w:r w:rsidRPr="00280649">
        <w:t>, 2012 ONCA 32</w:t>
      </w:r>
      <w:r>
        <w:t xml:space="preserve">; </w:t>
      </w:r>
      <w:r w:rsidRPr="00E5617B">
        <w:rPr>
          <w:i/>
        </w:rPr>
        <w:t>Hopkins v Kay</w:t>
      </w:r>
      <w:r w:rsidRPr="00E5617B">
        <w:t>, 2015 ONCA 112</w:t>
      </w:r>
    </w:p>
  </w:footnote>
  <w:footnote w:id="3">
    <w:p w14:paraId="403DB385" w14:textId="77777777" w:rsidR="00C24FFB" w:rsidRDefault="00C24FFB">
      <w:pPr>
        <w:pStyle w:val="FootnoteText"/>
      </w:pPr>
      <w:r>
        <w:rPr>
          <w:rStyle w:val="FootnoteReference"/>
        </w:rPr>
        <w:footnoteRef/>
      </w:r>
      <w:r>
        <w:t xml:space="preserve"> For more information on Canada’s anti-spam legislation see: </w:t>
      </w:r>
      <w:hyperlink r:id="rId2" w:history="1">
        <w:r w:rsidRPr="00FA2FEF">
          <w:rPr>
            <w:rStyle w:val="Hyperlink"/>
          </w:rPr>
          <w:t>http://fightspam.gc.ca/eic/site/030.nsf/eng/home</w:t>
        </w:r>
      </w:hyperlink>
    </w:p>
  </w:footnote>
  <w:footnote w:id="4">
    <w:p w14:paraId="1A1CD9B9" w14:textId="77777777" w:rsidR="00C24FFB" w:rsidRDefault="00C24FFB" w:rsidP="00FF1841">
      <w:pPr>
        <w:pStyle w:val="FootnoteText"/>
      </w:pPr>
      <w:r>
        <w:rPr>
          <w:rStyle w:val="FootnoteReference"/>
        </w:rPr>
        <w:footnoteRef/>
      </w:r>
      <w:r>
        <w:t xml:space="preserve"> For more information, see the Information and Privacy Commissioner’s “</w:t>
      </w:r>
      <w:r w:rsidRPr="00B5551F">
        <w:t>Fact Sheet #08 - Lock-box Fact Sheet</w:t>
      </w:r>
      <w:r>
        <w:t xml:space="preserve">”, available online: </w:t>
      </w:r>
      <w:hyperlink r:id="rId3" w:history="1">
        <w:r w:rsidRPr="00821EBB">
          <w:rPr>
            <w:rStyle w:val="Hyperlink"/>
          </w:rPr>
          <w:t>https://www.ipc.on.ca/wp-content/uploads/resources/fact-08-e.pdf</w:t>
        </w:r>
      </w:hyperlink>
      <w:r>
        <w:t xml:space="preserve">. </w:t>
      </w:r>
    </w:p>
  </w:footnote>
  <w:footnote w:id="5">
    <w:p w14:paraId="5FD950F7" w14:textId="77777777" w:rsidR="00C24FFB" w:rsidRDefault="00C24FFB">
      <w:pPr>
        <w:pStyle w:val="FootnoteText"/>
      </w:pPr>
      <w:r>
        <w:rPr>
          <w:rStyle w:val="FootnoteReference"/>
        </w:rPr>
        <w:footnoteRef/>
      </w:r>
      <w:r>
        <w:t xml:space="preserve"> Information and Privacy Commissioner of Ontario, Order HO-009, October 2010, available online: </w:t>
      </w:r>
      <w:hyperlink r:id="rId4" w:history="1">
        <w:r w:rsidRPr="00821EBB">
          <w:rPr>
            <w:rStyle w:val="Hyperlink"/>
          </w:rPr>
          <w:t>https://decisions.ipc.on.ca/ipc-cipvp/phipa/en/item/135119/index.do</w:t>
        </w:r>
      </w:hyperlink>
      <w:r>
        <w:t xml:space="preserve">; </w:t>
      </w:r>
      <w:r w:rsidRPr="00BE6CA4">
        <w:rPr>
          <w:i/>
        </w:rPr>
        <w:t>London Health Sciences Centre (Re)</w:t>
      </w:r>
      <w:r w:rsidRPr="00BE6CA4">
        <w:t>, 2015 CanLII 13169 (ON IPC)</w:t>
      </w:r>
      <w:r>
        <w:t xml:space="preserve">; Order HO-14, March 2015, available online: </w:t>
      </w:r>
      <w:hyperlink r:id="rId5" w:history="1">
        <w:r w:rsidRPr="00821EBB">
          <w:rPr>
            <w:rStyle w:val="Hyperlink"/>
          </w:rPr>
          <w:t>https://decisions.ipc.on.ca/ipc-cipvp/phipa/en/item/134659/index.do</w:t>
        </w:r>
      </w:hyperlink>
      <w:r>
        <w:t>: PHIPA Decision 93, May 30, 2019, available online:</w:t>
      </w:r>
      <w:r w:rsidRPr="00913450">
        <w:t xml:space="preserve"> </w:t>
      </w:r>
      <w:hyperlink r:id="rId6" w:history="1">
        <w:r w:rsidRPr="00821EBB">
          <w:rPr>
            <w:rStyle w:val="Hyperlink"/>
          </w:rPr>
          <w:t>https://decisions.ipc.on.ca/ipc-cipvp/phipa/en/item/417282/index.do</w:t>
        </w:r>
      </w:hyperlink>
      <w:r>
        <w:t xml:space="preserve">. In Order HO-14, the Commissioner confirmed that the same fees should apply to both requests for disclosure and requests for access. </w:t>
      </w:r>
    </w:p>
  </w:footnote>
  <w:footnote w:id="6">
    <w:p w14:paraId="2F040DDD" w14:textId="77777777" w:rsidR="00C24FFB" w:rsidRDefault="00C24FFB">
      <w:pPr>
        <w:pStyle w:val="FootnoteText"/>
      </w:pPr>
      <w:r>
        <w:rPr>
          <w:rStyle w:val="FootnoteReference"/>
        </w:rPr>
        <w:footnoteRef/>
      </w:r>
      <w:r>
        <w:t xml:space="preserve"> Up until 2016, no individual had been successfully prosecuted for an offence under PHIPA. That changed with the conviction of two hospital workers that “snooped” into former mayor Rob Ford’s health records in 2016. Amendments were made to PHIPA in 2016 to facilitate the prosecution of offences by removing the limitation period for such offences: </w:t>
      </w:r>
      <w:r>
        <w:rPr>
          <w:i/>
        </w:rPr>
        <w:t>Health Information Protection Act, 2016</w:t>
      </w:r>
      <w:r>
        <w:t>, S.O. 2016, c. 6 (Bill 119).</w:t>
      </w:r>
    </w:p>
  </w:footnote>
  <w:footnote w:id="7">
    <w:p w14:paraId="4994B3F9" w14:textId="77777777" w:rsidR="00C24FFB" w:rsidRDefault="00C24FFB">
      <w:pPr>
        <w:pStyle w:val="FootnoteText"/>
      </w:pPr>
      <w:r>
        <w:rPr>
          <w:rStyle w:val="FootnoteReference"/>
        </w:rPr>
        <w:footnoteRef/>
      </w:r>
      <w:r>
        <w:t xml:space="preserve"> At the time of writing, the audit log requirement is not yet in force. Readers should ascertain whether it has since been proclaimed into force, or simply prepare for its requirements now.</w:t>
      </w:r>
    </w:p>
  </w:footnote>
  <w:footnote w:id="8">
    <w:p w14:paraId="68C92561" w14:textId="77777777" w:rsidR="00C24FFB" w:rsidRDefault="00C24FFB" w:rsidP="000F1F8D">
      <w:pPr>
        <w:pStyle w:val="FootnoteText"/>
      </w:pPr>
      <w:r>
        <w:rPr>
          <w:rStyle w:val="FootnoteReference"/>
        </w:rPr>
        <w:footnoteRef/>
      </w:r>
      <w:r>
        <w:t xml:space="preserve"> For more information see the Information and Privacy Commissioner resource “Detecting and Deterring</w:t>
      </w:r>
    </w:p>
    <w:p w14:paraId="07ABF6D9" w14:textId="77777777" w:rsidR="00C24FFB" w:rsidRDefault="00C24FFB" w:rsidP="000F1F8D">
      <w:pPr>
        <w:pStyle w:val="FootnoteText"/>
      </w:pPr>
      <w:r>
        <w:t xml:space="preserve">Unauthorized Access to Personal Health Information”: </w:t>
      </w:r>
      <w:hyperlink r:id="rId7" w:history="1">
        <w:r w:rsidRPr="0036599E">
          <w:rPr>
            <w:rStyle w:val="Hyperlink"/>
          </w:rPr>
          <w:t>https://www.ipc.on.ca/wp-content/uploads/resources/detect_deter.pdf</w:t>
        </w:r>
      </w:hyperlink>
      <w:r>
        <w:t xml:space="preserve">. </w:t>
      </w:r>
    </w:p>
  </w:footnote>
  <w:footnote w:id="9">
    <w:p w14:paraId="6B2998EE" w14:textId="77777777" w:rsidR="00C24FFB" w:rsidRDefault="00C24FFB">
      <w:pPr>
        <w:pStyle w:val="FootnoteText"/>
      </w:pPr>
      <w:r>
        <w:rPr>
          <w:rStyle w:val="FootnoteReference"/>
        </w:rPr>
        <w:footnoteRef/>
      </w:r>
      <w:r>
        <w:t xml:space="preserve"> For more information on the encryption of personal health information on mobile devices, see the Information and Privacy Commissioner of Ontario’s Fact Sheets, “Health-Care Requirement for Strong Encryption”, available online: </w:t>
      </w:r>
      <w:hyperlink r:id="rId8" w:history="1">
        <w:r w:rsidRPr="00821EBB">
          <w:rPr>
            <w:rStyle w:val="Hyperlink"/>
          </w:rPr>
          <w:t>https://www.ipc.on.ca/wp-content/uploads/resources/fact-16-e.pdf</w:t>
        </w:r>
      </w:hyperlink>
      <w:r>
        <w:t xml:space="preserve"> and “Encrypting Personal Health Information on Mobile Devices”, available online:</w:t>
      </w:r>
      <w:r w:rsidRPr="00913450">
        <w:t xml:space="preserve"> https://www.ipc.on.ca/wp-content/uploads/Resources/fact-12-e.pdf</w:t>
      </w:r>
      <w:r>
        <w:t>. See also: “Safeguarding Privacy on Mobile Devices”, Information and Privacy Commissioner, 2014, available online:</w:t>
      </w:r>
      <w:r w:rsidRPr="00913450">
        <w:t xml:space="preserve"> </w:t>
      </w:r>
      <w:hyperlink r:id="rId9" w:history="1">
        <w:r w:rsidRPr="00821EBB">
          <w:rPr>
            <w:rStyle w:val="Hyperlink"/>
          </w:rPr>
          <w:t>https://www.ipc.on.ca/wp-content/uploads/Resources/safeguarding-privacy-on-mobile-devices-e.pdf</w:t>
        </w:r>
      </w:hyperlink>
      <w:r>
        <w:t xml:space="preserve">.   </w:t>
      </w:r>
    </w:p>
  </w:footnote>
  <w:footnote w:id="10">
    <w:p w14:paraId="35DCC1D8" w14:textId="77777777" w:rsidR="00C24FFB" w:rsidRDefault="00C24FFB">
      <w:pPr>
        <w:pStyle w:val="FootnoteText"/>
      </w:pPr>
      <w:r>
        <w:rPr>
          <w:rStyle w:val="FootnoteReference"/>
        </w:rPr>
        <w:footnoteRef/>
      </w:r>
      <w:r>
        <w:t xml:space="preserve"> As of the time of writing it is anticipated that regulations will be enacted setting out specific requirements as to how information should be safely de-identified and restricting attempts to re-identify the individual. </w:t>
      </w:r>
    </w:p>
  </w:footnote>
  <w:footnote w:id="11">
    <w:p w14:paraId="71055E26" w14:textId="77777777" w:rsidR="00C24FFB" w:rsidRDefault="00C24FFB" w:rsidP="00E65EFD">
      <w:pPr>
        <w:pStyle w:val="FootnoteText"/>
      </w:pPr>
      <w:r>
        <w:rPr>
          <w:rStyle w:val="FootnoteReference"/>
        </w:rPr>
        <w:footnoteRef/>
      </w:r>
      <w:r>
        <w:t xml:space="preserve"> Note that the Information and Privacy Commissioner of Ontario held that it was inappropriate for Cancer Care Ontario to use a courier service to transfer paper records containing colon cancer screening information relating to over 7000 individuals to physicians. The Commissioner held that in the particular circumstances (i.e., the sophistication of the organization and of the recipients, the number of individuals affected, the volume and frequency of the transfers and the availability of alternatives), the organization should have transferred the records using secure electronic means. For more information, see the Commissioner’s Fact Sheet, “</w:t>
      </w:r>
      <w:r w:rsidRPr="00E65EFD">
        <w:t>The Secure Transfer of Personal Health Information</w:t>
      </w:r>
      <w:r>
        <w:t xml:space="preserve">”, available online: </w:t>
      </w:r>
      <w:hyperlink r:id="rId10" w:history="1">
        <w:r w:rsidRPr="00821EBB">
          <w:rPr>
            <w:rStyle w:val="Hyperlink"/>
          </w:rPr>
          <w:t>https://www.ipc.on.ca/wp-content/uploads/Resources/fact-18-e.pdf</w:t>
        </w:r>
      </w:hyperlink>
      <w:r>
        <w:t xml:space="preserve">.  </w:t>
      </w:r>
    </w:p>
  </w:footnote>
  <w:footnote w:id="12">
    <w:p w14:paraId="75F9BA1C" w14:textId="61EEB345" w:rsidR="00C24FFB" w:rsidRDefault="00C24FFB">
      <w:pPr>
        <w:pStyle w:val="FootnoteText"/>
      </w:pPr>
      <w:r>
        <w:rPr>
          <w:rStyle w:val="FootnoteReference"/>
        </w:rPr>
        <w:footnoteRef/>
      </w:r>
      <w:r>
        <w:t xml:space="preserve"> The courts have clarified that individuals may also sue for damages under the common law even if the Commissioner has not made an order: </w:t>
      </w:r>
      <w:r w:rsidRPr="00E5617B">
        <w:rPr>
          <w:i/>
        </w:rPr>
        <w:t>Hopkins v Kay</w:t>
      </w:r>
      <w:r w:rsidRPr="00E5617B">
        <w:t>, 2015 ONCA 112</w:t>
      </w:r>
      <w:r>
        <w:t>.</w:t>
      </w:r>
    </w:p>
  </w:footnote>
  <w:footnote w:id="13">
    <w:p w14:paraId="0865AA01" w14:textId="77777777" w:rsidR="00C24FFB" w:rsidRDefault="00C24FFB" w:rsidP="00913450">
      <w:pPr>
        <w:pStyle w:val="FootnoteText"/>
      </w:pPr>
      <w:r>
        <w:rPr>
          <w:rStyle w:val="FootnoteReference"/>
        </w:rPr>
        <w:footnoteRef/>
      </w:r>
      <w:r>
        <w:t xml:space="preserve"> Information and Privacy Commissioner of Ontario, “Responding to a Health Privacy Breach: Guidelines for the Health Sector”, available online:</w:t>
      </w:r>
      <w:r w:rsidRPr="00913450">
        <w:t xml:space="preserve"> </w:t>
      </w:r>
      <w:hyperlink r:id="rId11" w:history="1">
        <w:r w:rsidRPr="00821EBB">
          <w:rPr>
            <w:rStyle w:val="Hyperlink"/>
          </w:rPr>
          <w:t>https://www.ipc.on.ca/wp-content/uploads/2018/10/health-privacy-breach-guidelines.pdf</w:t>
        </w:r>
      </w:hyperlink>
      <w:r>
        <w:t xml:space="preserve"> and “</w:t>
      </w:r>
      <w:r w:rsidRPr="00913450">
        <w:t>Reporting a Privacy Breach to the Commissioner: Guidelines for the Health Sector</w:t>
      </w:r>
      <w:r>
        <w:t xml:space="preserve">”, available online: </w:t>
      </w:r>
      <w:hyperlink r:id="rId12" w:history="1">
        <w:r w:rsidRPr="00821EBB">
          <w:rPr>
            <w:rStyle w:val="Hyperlink"/>
          </w:rPr>
          <w:t>https://www.ipc.on.ca/wp-content/uploads/2017/08/2019-health-privacy-breach-notification-guidelines.pdf</w:t>
        </w:r>
      </w:hyperlink>
      <w:r>
        <w:t xml:space="preserve">. </w:t>
      </w:r>
    </w:p>
  </w:footnote>
  <w:footnote w:id="14">
    <w:p w14:paraId="3F379625" w14:textId="77777777" w:rsidR="00C24FFB" w:rsidRDefault="00C24FFB">
      <w:pPr>
        <w:pStyle w:val="FootnoteText"/>
      </w:pPr>
      <w:r>
        <w:rPr>
          <w:rStyle w:val="FootnoteReference"/>
        </w:rPr>
        <w:footnoteRef/>
      </w:r>
      <w:r>
        <w:t xml:space="preserve"> Express consent is not required for this purpose where the individual’s health number has already been collected to provide health care services that are paid by OHIP.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D6C5C" w14:textId="77777777" w:rsidR="00C24FFB" w:rsidRDefault="00C24FFB">
    <w:pPr>
      <w:pStyle w:val="Header"/>
      <w:jc w:val="right"/>
    </w:pPr>
  </w:p>
  <w:p w14:paraId="12E2DC57" w14:textId="77777777" w:rsidR="00C24FFB" w:rsidRDefault="00C24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2DBE" w14:textId="21E6475B" w:rsidR="00C24FFB" w:rsidRDefault="00C24FFB">
    <w:pPr>
      <w:pStyle w:val="Header"/>
      <w:jc w:val="right"/>
    </w:pPr>
  </w:p>
  <w:p w14:paraId="1AA0B801" w14:textId="77777777" w:rsidR="00C24FFB" w:rsidRDefault="00C24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472"/>
    <w:multiLevelType w:val="hybridMultilevel"/>
    <w:tmpl w:val="FEE8A74A"/>
    <w:lvl w:ilvl="0" w:tplc="10090001">
      <w:start w:val="1"/>
      <w:numFmt w:val="bullet"/>
      <w:lvlText w:val=""/>
      <w:lvlJc w:val="left"/>
      <w:pPr>
        <w:ind w:left="828" w:hanging="360"/>
      </w:pPr>
      <w:rPr>
        <w:rFonts w:ascii="Symbol" w:hAnsi="Symbol" w:hint="default"/>
      </w:rPr>
    </w:lvl>
    <w:lvl w:ilvl="1" w:tplc="10090003" w:tentative="1">
      <w:start w:val="1"/>
      <w:numFmt w:val="bullet"/>
      <w:lvlText w:val="o"/>
      <w:lvlJc w:val="left"/>
      <w:pPr>
        <w:ind w:left="1548" w:hanging="360"/>
      </w:pPr>
      <w:rPr>
        <w:rFonts w:ascii="Courier New" w:hAnsi="Courier New" w:cs="Courier New" w:hint="default"/>
      </w:rPr>
    </w:lvl>
    <w:lvl w:ilvl="2" w:tplc="10090005" w:tentative="1">
      <w:start w:val="1"/>
      <w:numFmt w:val="bullet"/>
      <w:lvlText w:val=""/>
      <w:lvlJc w:val="left"/>
      <w:pPr>
        <w:ind w:left="2268" w:hanging="360"/>
      </w:pPr>
      <w:rPr>
        <w:rFonts w:ascii="Wingdings" w:hAnsi="Wingdings" w:hint="default"/>
      </w:rPr>
    </w:lvl>
    <w:lvl w:ilvl="3" w:tplc="10090001" w:tentative="1">
      <w:start w:val="1"/>
      <w:numFmt w:val="bullet"/>
      <w:lvlText w:val=""/>
      <w:lvlJc w:val="left"/>
      <w:pPr>
        <w:ind w:left="2988" w:hanging="360"/>
      </w:pPr>
      <w:rPr>
        <w:rFonts w:ascii="Symbol" w:hAnsi="Symbol" w:hint="default"/>
      </w:rPr>
    </w:lvl>
    <w:lvl w:ilvl="4" w:tplc="10090003" w:tentative="1">
      <w:start w:val="1"/>
      <w:numFmt w:val="bullet"/>
      <w:lvlText w:val="o"/>
      <w:lvlJc w:val="left"/>
      <w:pPr>
        <w:ind w:left="3708" w:hanging="360"/>
      </w:pPr>
      <w:rPr>
        <w:rFonts w:ascii="Courier New" w:hAnsi="Courier New" w:cs="Courier New" w:hint="default"/>
      </w:rPr>
    </w:lvl>
    <w:lvl w:ilvl="5" w:tplc="10090005" w:tentative="1">
      <w:start w:val="1"/>
      <w:numFmt w:val="bullet"/>
      <w:lvlText w:val=""/>
      <w:lvlJc w:val="left"/>
      <w:pPr>
        <w:ind w:left="4428" w:hanging="360"/>
      </w:pPr>
      <w:rPr>
        <w:rFonts w:ascii="Wingdings" w:hAnsi="Wingdings" w:hint="default"/>
      </w:rPr>
    </w:lvl>
    <w:lvl w:ilvl="6" w:tplc="10090001" w:tentative="1">
      <w:start w:val="1"/>
      <w:numFmt w:val="bullet"/>
      <w:lvlText w:val=""/>
      <w:lvlJc w:val="left"/>
      <w:pPr>
        <w:ind w:left="5148" w:hanging="360"/>
      </w:pPr>
      <w:rPr>
        <w:rFonts w:ascii="Symbol" w:hAnsi="Symbol" w:hint="default"/>
      </w:rPr>
    </w:lvl>
    <w:lvl w:ilvl="7" w:tplc="10090003" w:tentative="1">
      <w:start w:val="1"/>
      <w:numFmt w:val="bullet"/>
      <w:lvlText w:val="o"/>
      <w:lvlJc w:val="left"/>
      <w:pPr>
        <w:ind w:left="5868" w:hanging="360"/>
      </w:pPr>
      <w:rPr>
        <w:rFonts w:ascii="Courier New" w:hAnsi="Courier New" w:cs="Courier New" w:hint="default"/>
      </w:rPr>
    </w:lvl>
    <w:lvl w:ilvl="8" w:tplc="10090005" w:tentative="1">
      <w:start w:val="1"/>
      <w:numFmt w:val="bullet"/>
      <w:lvlText w:val=""/>
      <w:lvlJc w:val="left"/>
      <w:pPr>
        <w:ind w:left="6588" w:hanging="360"/>
      </w:pPr>
      <w:rPr>
        <w:rFonts w:ascii="Wingdings" w:hAnsi="Wingdings" w:hint="default"/>
      </w:rPr>
    </w:lvl>
  </w:abstractNum>
  <w:abstractNum w:abstractNumId="1" w15:restartNumberingAfterBreak="0">
    <w:nsid w:val="09215D33"/>
    <w:multiLevelType w:val="hybridMultilevel"/>
    <w:tmpl w:val="8B6AE9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25144A"/>
    <w:multiLevelType w:val="hybridMultilevel"/>
    <w:tmpl w:val="1354F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EC6A69"/>
    <w:multiLevelType w:val="hybridMultilevel"/>
    <w:tmpl w:val="0A7EC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FD0E49"/>
    <w:multiLevelType w:val="hybridMultilevel"/>
    <w:tmpl w:val="542A3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AE2639"/>
    <w:multiLevelType w:val="hybridMultilevel"/>
    <w:tmpl w:val="41C21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245E91"/>
    <w:multiLevelType w:val="hybridMultilevel"/>
    <w:tmpl w:val="8A0C6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261C1A"/>
    <w:multiLevelType w:val="hybridMultilevel"/>
    <w:tmpl w:val="94C23E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2A8465E"/>
    <w:multiLevelType w:val="hybridMultilevel"/>
    <w:tmpl w:val="70A046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A82021"/>
    <w:multiLevelType w:val="hybridMultilevel"/>
    <w:tmpl w:val="939EB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524485"/>
    <w:multiLevelType w:val="hybridMultilevel"/>
    <w:tmpl w:val="EFE83A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2A191D"/>
    <w:multiLevelType w:val="hybridMultilevel"/>
    <w:tmpl w:val="26F86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8F5B45"/>
    <w:multiLevelType w:val="hybridMultilevel"/>
    <w:tmpl w:val="8DD6B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D97799"/>
    <w:multiLevelType w:val="hybridMultilevel"/>
    <w:tmpl w:val="D674D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850071"/>
    <w:multiLevelType w:val="hybridMultilevel"/>
    <w:tmpl w:val="4EDCB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D968A5"/>
    <w:multiLevelType w:val="hybridMultilevel"/>
    <w:tmpl w:val="F740EF90"/>
    <w:lvl w:ilvl="0" w:tplc="4E28C496">
      <w:start w:val="1"/>
      <w:numFmt w:val="bullet"/>
      <w:pStyle w:val="Checklist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E533392"/>
    <w:multiLevelType w:val="hybridMultilevel"/>
    <w:tmpl w:val="53E4D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4F71FD"/>
    <w:multiLevelType w:val="hybridMultilevel"/>
    <w:tmpl w:val="A0C05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A303AB7"/>
    <w:multiLevelType w:val="hybridMultilevel"/>
    <w:tmpl w:val="6B6447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2F2D17"/>
    <w:multiLevelType w:val="hybridMultilevel"/>
    <w:tmpl w:val="1BA6EF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AC6B8A"/>
    <w:multiLevelType w:val="hybridMultilevel"/>
    <w:tmpl w:val="DCE6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41718"/>
    <w:multiLevelType w:val="hybridMultilevel"/>
    <w:tmpl w:val="572A5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EE558C"/>
    <w:multiLevelType w:val="hybridMultilevel"/>
    <w:tmpl w:val="B3D0B3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6"/>
  </w:num>
  <w:num w:numId="5">
    <w:abstractNumId w:val="11"/>
  </w:num>
  <w:num w:numId="6">
    <w:abstractNumId w:val="9"/>
  </w:num>
  <w:num w:numId="7">
    <w:abstractNumId w:val="14"/>
  </w:num>
  <w:num w:numId="8">
    <w:abstractNumId w:val="3"/>
  </w:num>
  <w:num w:numId="9">
    <w:abstractNumId w:val="4"/>
  </w:num>
  <w:num w:numId="10">
    <w:abstractNumId w:val="17"/>
  </w:num>
  <w:num w:numId="11">
    <w:abstractNumId w:val="13"/>
  </w:num>
  <w:num w:numId="12">
    <w:abstractNumId w:val="1"/>
  </w:num>
  <w:num w:numId="13">
    <w:abstractNumId w:val="12"/>
  </w:num>
  <w:num w:numId="14">
    <w:abstractNumId w:val="22"/>
  </w:num>
  <w:num w:numId="15">
    <w:abstractNumId w:val="0"/>
  </w:num>
  <w:num w:numId="16">
    <w:abstractNumId w:val="15"/>
  </w:num>
  <w:num w:numId="17">
    <w:abstractNumId w:val="15"/>
  </w:num>
  <w:num w:numId="18">
    <w:abstractNumId w:val="5"/>
  </w:num>
  <w:num w:numId="19">
    <w:abstractNumId w:val="16"/>
  </w:num>
  <w:num w:numId="20">
    <w:abstractNumId w:val="7"/>
  </w:num>
  <w:num w:numId="21">
    <w:abstractNumId w:val="18"/>
  </w:num>
  <w:num w:numId="22">
    <w:abstractNumId w:val="19"/>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8CF"/>
    <w:rsid w:val="00000BCF"/>
    <w:rsid w:val="0001083D"/>
    <w:rsid w:val="00022133"/>
    <w:rsid w:val="00024F4D"/>
    <w:rsid w:val="00067DD7"/>
    <w:rsid w:val="00070F87"/>
    <w:rsid w:val="000A3F3F"/>
    <w:rsid w:val="000B5ACC"/>
    <w:rsid w:val="000E07BB"/>
    <w:rsid w:val="000F1F8D"/>
    <w:rsid w:val="0010486A"/>
    <w:rsid w:val="00113C92"/>
    <w:rsid w:val="0011693B"/>
    <w:rsid w:val="001262C1"/>
    <w:rsid w:val="00142B95"/>
    <w:rsid w:val="001501A8"/>
    <w:rsid w:val="001544EB"/>
    <w:rsid w:val="00155325"/>
    <w:rsid w:val="00157D40"/>
    <w:rsid w:val="00161380"/>
    <w:rsid w:val="00180030"/>
    <w:rsid w:val="001878B0"/>
    <w:rsid w:val="001C5FCC"/>
    <w:rsid w:val="001C6BF2"/>
    <w:rsid w:val="001D0B9E"/>
    <w:rsid w:val="001E119C"/>
    <w:rsid w:val="001E2F3C"/>
    <w:rsid w:val="001F234E"/>
    <w:rsid w:val="00200B11"/>
    <w:rsid w:val="00201A4C"/>
    <w:rsid w:val="00216018"/>
    <w:rsid w:val="00224145"/>
    <w:rsid w:val="002545CD"/>
    <w:rsid w:val="00271AC4"/>
    <w:rsid w:val="002768D9"/>
    <w:rsid w:val="00280649"/>
    <w:rsid w:val="00287CFB"/>
    <w:rsid w:val="00290FA9"/>
    <w:rsid w:val="0029227D"/>
    <w:rsid w:val="002C1A26"/>
    <w:rsid w:val="002C1EA1"/>
    <w:rsid w:val="002C6FEB"/>
    <w:rsid w:val="002D07C7"/>
    <w:rsid w:val="002F5F23"/>
    <w:rsid w:val="002F697C"/>
    <w:rsid w:val="00300853"/>
    <w:rsid w:val="003068F3"/>
    <w:rsid w:val="00314CEA"/>
    <w:rsid w:val="00323FFE"/>
    <w:rsid w:val="00326E63"/>
    <w:rsid w:val="003343B9"/>
    <w:rsid w:val="003639B1"/>
    <w:rsid w:val="003669AF"/>
    <w:rsid w:val="003745FE"/>
    <w:rsid w:val="00377229"/>
    <w:rsid w:val="003804EE"/>
    <w:rsid w:val="00380699"/>
    <w:rsid w:val="003828CF"/>
    <w:rsid w:val="00385015"/>
    <w:rsid w:val="00397AD0"/>
    <w:rsid w:val="003A1E12"/>
    <w:rsid w:val="003C3DA5"/>
    <w:rsid w:val="003C53F0"/>
    <w:rsid w:val="003C57D1"/>
    <w:rsid w:val="003C6054"/>
    <w:rsid w:val="003C6280"/>
    <w:rsid w:val="003D168F"/>
    <w:rsid w:val="003E7320"/>
    <w:rsid w:val="003F322B"/>
    <w:rsid w:val="003F44B1"/>
    <w:rsid w:val="003F6846"/>
    <w:rsid w:val="00404837"/>
    <w:rsid w:val="00406FE8"/>
    <w:rsid w:val="00412B47"/>
    <w:rsid w:val="004147FB"/>
    <w:rsid w:val="00417342"/>
    <w:rsid w:val="004247B7"/>
    <w:rsid w:val="00424DCF"/>
    <w:rsid w:val="00435DCE"/>
    <w:rsid w:val="00440433"/>
    <w:rsid w:val="00442418"/>
    <w:rsid w:val="004522B0"/>
    <w:rsid w:val="00452F3E"/>
    <w:rsid w:val="0046223E"/>
    <w:rsid w:val="00463B52"/>
    <w:rsid w:val="0047033F"/>
    <w:rsid w:val="00483468"/>
    <w:rsid w:val="004A666C"/>
    <w:rsid w:val="004B47C7"/>
    <w:rsid w:val="004C08EC"/>
    <w:rsid w:val="004E0A2A"/>
    <w:rsid w:val="004E303C"/>
    <w:rsid w:val="004E7A80"/>
    <w:rsid w:val="004F7C21"/>
    <w:rsid w:val="005273E2"/>
    <w:rsid w:val="00541391"/>
    <w:rsid w:val="00544BC1"/>
    <w:rsid w:val="005451D0"/>
    <w:rsid w:val="00546870"/>
    <w:rsid w:val="0054730D"/>
    <w:rsid w:val="00551A67"/>
    <w:rsid w:val="00551F05"/>
    <w:rsid w:val="005600C4"/>
    <w:rsid w:val="005625BC"/>
    <w:rsid w:val="005C2FE5"/>
    <w:rsid w:val="005D18F7"/>
    <w:rsid w:val="005D7FE6"/>
    <w:rsid w:val="00610FE2"/>
    <w:rsid w:val="00615272"/>
    <w:rsid w:val="0063199F"/>
    <w:rsid w:val="00644816"/>
    <w:rsid w:val="00652DBC"/>
    <w:rsid w:val="00662759"/>
    <w:rsid w:val="0066609B"/>
    <w:rsid w:val="006661B1"/>
    <w:rsid w:val="00672F2B"/>
    <w:rsid w:val="00682A9D"/>
    <w:rsid w:val="00683173"/>
    <w:rsid w:val="00683674"/>
    <w:rsid w:val="00685C9F"/>
    <w:rsid w:val="0069082D"/>
    <w:rsid w:val="006A04AA"/>
    <w:rsid w:val="006A595E"/>
    <w:rsid w:val="006C3778"/>
    <w:rsid w:val="006E1FC9"/>
    <w:rsid w:val="006F4ED4"/>
    <w:rsid w:val="00743272"/>
    <w:rsid w:val="0074698B"/>
    <w:rsid w:val="007754B6"/>
    <w:rsid w:val="00785325"/>
    <w:rsid w:val="00792BB4"/>
    <w:rsid w:val="00795EDA"/>
    <w:rsid w:val="007A3C28"/>
    <w:rsid w:val="007B4624"/>
    <w:rsid w:val="007C2377"/>
    <w:rsid w:val="007D7D12"/>
    <w:rsid w:val="008070D8"/>
    <w:rsid w:val="008075D3"/>
    <w:rsid w:val="008104F1"/>
    <w:rsid w:val="008455A0"/>
    <w:rsid w:val="00846147"/>
    <w:rsid w:val="0085198D"/>
    <w:rsid w:val="00862C96"/>
    <w:rsid w:val="00874597"/>
    <w:rsid w:val="00892694"/>
    <w:rsid w:val="008A7F05"/>
    <w:rsid w:val="008B7B3C"/>
    <w:rsid w:val="008C07FC"/>
    <w:rsid w:val="008C1B64"/>
    <w:rsid w:val="008C5524"/>
    <w:rsid w:val="008D0746"/>
    <w:rsid w:val="008D0D8D"/>
    <w:rsid w:val="008E42B8"/>
    <w:rsid w:val="009024FA"/>
    <w:rsid w:val="00913450"/>
    <w:rsid w:val="0093595E"/>
    <w:rsid w:val="009373F3"/>
    <w:rsid w:val="0096124B"/>
    <w:rsid w:val="00962DB7"/>
    <w:rsid w:val="00963BD7"/>
    <w:rsid w:val="00981F6D"/>
    <w:rsid w:val="009A05DD"/>
    <w:rsid w:val="009B761D"/>
    <w:rsid w:val="009C6119"/>
    <w:rsid w:val="009E1371"/>
    <w:rsid w:val="009E16F1"/>
    <w:rsid w:val="009F17D9"/>
    <w:rsid w:val="009F24A1"/>
    <w:rsid w:val="00A10FE0"/>
    <w:rsid w:val="00A1454E"/>
    <w:rsid w:val="00A27111"/>
    <w:rsid w:val="00A311A8"/>
    <w:rsid w:val="00A52BAE"/>
    <w:rsid w:val="00A5576D"/>
    <w:rsid w:val="00A678BA"/>
    <w:rsid w:val="00A67EDF"/>
    <w:rsid w:val="00A737AB"/>
    <w:rsid w:val="00A7413B"/>
    <w:rsid w:val="00A9688B"/>
    <w:rsid w:val="00A974D9"/>
    <w:rsid w:val="00AA0003"/>
    <w:rsid w:val="00AA20D2"/>
    <w:rsid w:val="00AA2B4B"/>
    <w:rsid w:val="00AB61FF"/>
    <w:rsid w:val="00AB6BC2"/>
    <w:rsid w:val="00AC2AA5"/>
    <w:rsid w:val="00AC3B3D"/>
    <w:rsid w:val="00AC66A1"/>
    <w:rsid w:val="00AD0F0D"/>
    <w:rsid w:val="00AD43A9"/>
    <w:rsid w:val="00AF7407"/>
    <w:rsid w:val="00AF7FB2"/>
    <w:rsid w:val="00B116DA"/>
    <w:rsid w:val="00B11A8D"/>
    <w:rsid w:val="00B12BA8"/>
    <w:rsid w:val="00B14500"/>
    <w:rsid w:val="00B153FD"/>
    <w:rsid w:val="00B1765A"/>
    <w:rsid w:val="00B27B93"/>
    <w:rsid w:val="00B36318"/>
    <w:rsid w:val="00B41125"/>
    <w:rsid w:val="00B4377A"/>
    <w:rsid w:val="00B657B8"/>
    <w:rsid w:val="00B72921"/>
    <w:rsid w:val="00B86BC5"/>
    <w:rsid w:val="00B94C42"/>
    <w:rsid w:val="00BA0B44"/>
    <w:rsid w:val="00BA363B"/>
    <w:rsid w:val="00BA4EB3"/>
    <w:rsid w:val="00BC372B"/>
    <w:rsid w:val="00BD4068"/>
    <w:rsid w:val="00BE37D6"/>
    <w:rsid w:val="00BE6CA4"/>
    <w:rsid w:val="00BE7D3A"/>
    <w:rsid w:val="00C039A5"/>
    <w:rsid w:val="00C076E8"/>
    <w:rsid w:val="00C07ED7"/>
    <w:rsid w:val="00C11E30"/>
    <w:rsid w:val="00C24078"/>
    <w:rsid w:val="00C24FFB"/>
    <w:rsid w:val="00C44283"/>
    <w:rsid w:val="00C5373E"/>
    <w:rsid w:val="00C54860"/>
    <w:rsid w:val="00C554B0"/>
    <w:rsid w:val="00C720B8"/>
    <w:rsid w:val="00C943AD"/>
    <w:rsid w:val="00CA0E83"/>
    <w:rsid w:val="00CA2018"/>
    <w:rsid w:val="00CA2712"/>
    <w:rsid w:val="00CA27E2"/>
    <w:rsid w:val="00CB0E6F"/>
    <w:rsid w:val="00CB7EA7"/>
    <w:rsid w:val="00CC13B1"/>
    <w:rsid w:val="00CC501F"/>
    <w:rsid w:val="00CD32B0"/>
    <w:rsid w:val="00CD4549"/>
    <w:rsid w:val="00CE0576"/>
    <w:rsid w:val="00CE5FF4"/>
    <w:rsid w:val="00CF1CA7"/>
    <w:rsid w:val="00D0283A"/>
    <w:rsid w:val="00D05E86"/>
    <w:rsid w:val="00D20BCE"/>
    <w:rsid w:val="00D23E48"/>
    <w:rsid w:val="00D448C2"/>
    <w:rsid w:val="00D5068C"/>
    <w:rsid w:val="00D51DC8"/>
    <w:rsid w:val="00D608AD"/>
    <w:rsid w:val="00D658B8"/>
    <w:rsid w:val="00D811D4"/>
    <w:rsid w:val="00D96DA7"/>
    <w:rsid w:val="00D973A1"/>
    <w:rsid w:val="00D973AD"/>
    <w:rsid w:val="00DB1679"/>
    <w:rsid w:val="00DD4696"/>
    <w:rsid w:val="00DE1A3D"/>
    <w:rsid w:val="00DE282D"/>
    <w:rsid w:val="00DE41BD"/>
    <w:rsid w:val="00DF3A02"/>
    <w:rsid w:val="00E059B5"/>
    <w:rsid w:val="00E12AFC"/>
    <w:rsid w:val="00E1566C"/>
    <w:rsid w:val="00E311C4"/>
    <w:rsid w:val="00E32AE5"/>
    <w:rsid w:val="00E34C64"/>
    <w:rsid w:val="00E4059F"/>
    <w:rsid w:val="00E55323"/>
    <w:rsid w:val="00E5560B"/>
    <w:rsid w:val="00E5617B"/>
    <w:rsid w:val="00E57014"/>
    <w:rsid w:val="00E65EFD"/>
    <w:rsid w:val="00EA2815"/>
    <w:rsid w:val="00EA54CF"/>
    <w:rsid w:val="00EA714C"/>
    <w:rsid w:val="00EA74A5"/>
    <w:rsid w:val="00EB66B2"/>
    <w:rsid w:val="00ED4F7F"/>
    <w:rsid w:val="00EE0BEB"/>
    <w:rsid w:val="00EE2FD4"/>
    <w:rsid w:val="00EE3974"/>
    <w:rsid w:val="00F14481"/>
    <w:rsid w:val="00F15626"/>
    <w:rsid w:val="00F17989"/>
    <w:rsid w:val="00F22F89"/>
    <w:rsid w:val="00F244C0"/>
    <w:rsid w:val="00F257E6"/>
    <w:rsid w:val="00F25898"/>
    <w:rsid w:val="00F310DC"/>
    <w:rsid w:val="00F373CB"/>
    <w:rsid w:val="00F451E3"/>
    <w:rsid w:val="00F55180"/>
    <w:rsid w:val="00F574AC"/>
    <w:rsid w:val="00F634D0"/>
    <w:rsid w:val="00F63799"/>
    <w:rsid w:val="00F75F85"/>
    <w:rsid w:val="00F772ED"/>
    <w:rsid w:val="00FB24F7"/>
    <w:rsid w:val="00FB2E78"/>
    <w:rsid w:val="00FC1FEF"/>
    <w:rsid w:val="00FD041E"/>
    <w:rsid w:val="00FE76DC"/>
    <w:rsid w:val="00FE76E0"/>
    <w:rsid w:val="00FF1841"/>
    <w:rsid w:val="00FF4096"/>
    <w:rsid w:val="00FF75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06F64"/>
  <w15:docId w15:val="{10847510-9AA3-48BA-8874-6855B174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74"/>
    <w:rPr>
      <w:sz w:val="24"/>
    </w:rPr>
  </w:style>
  <w:style w:type="paragraph" w:styleId="Heading1">
    <w:name w:val="heading 1"/>
    <w:basedOn w:val="Normal"/>
    <w:next w:val="Normal"/>
    <w:link w:val="Heading1Char"/>
    <w:uiPriority w:val="9"/>
    <w:qFormat/>
    <w:rsid w:val="00E32AE5"/>
    <w:pPr>
      <w:keepNext/>
      <w:keepLines/>
      <w:pageBreakBefore/>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87CFB"/>
    <w:pPr>
      <w:keepNext/>
      <w:keepLines/>
      <w:spacing w:before="200" w:after="240"/>
      <w:outlineLvl w:val="1"/>
    </w:pPr>
    <w:rPr>
      <w:rFonts w:eastAsiaTheme="majorEastAsia" w:cstheme="majorBidi"/>
      <w:b/>
      <w:bCs/>
      <w:sz w:val="26"/>
      <w:szCs w:val="26"/>
    </w:rPr>
  </w:style>
  <w:style w:type="paragraph" w:styleId="Heading4">
    <w:name w:val="heading 4"/>
    <w:basedOn w:val="Normal"/>
    <w:next w:val="Normal"/>
    <w:link w:val="Heading4Char"/>
    <w:uiPriority w:val="9"/>
    <w:semiHidden/>
    <w:unhideWhenUsed/>
    <w:qFormat/>
    <w:rsid w:val="00DD469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469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46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828CF"/>
    <w:pPr>
      <w:spacing w:after="0" w:line="240" w:lineRule="auto"/>
    </w:pPr>
    <w:rPr>
      <w:sz w:val="20"/>
      <w:szCs w:val="20"/>
    </w:rPr>
  </w:style>
  <w:style w:type="character" w:customStyle="1" w:styleId="FootnoteTextChar">
    <w:name w:val="Footnote Text Char"/>
    <w:basedOn w:val="DefaultParagraphFont"/>
    <w:link w:val="FootnoteText"/>
    <w:uiPriority w:val="99"/>
    <w:rsid w:val="003828CF"/>
    <w:rPr>
      <w:sz w:val="20"/>
      <w:szCs w:val="20"/>
    </w:rPr>
  </w:style>
  <w:style w:type="character" w:styleId="FootnoteReference">
    <w:name w:val="footnote reference"/>
    <w:basedOn w:val="DefaultParagraphFont"/>
    <w:uiPriority w:val="99"/>
    <w:semiHidden/>
    <w:unhideWhenUsed/>
    <w:rsid w:val="003828CF"/>
    <w:rPr>
      <w:vertAlign w:val="superscript"/>
    </w:rPr>
  </w:style>
  <w:style w:type="character" w:customStyle="1" w:styleId="Heading1Char">
    <w:name w:val="Heading 1 Char"/>
    <w:basedOn w:val="DefaultParagraphFont"/>
    <w:link w:val="Heading1"/>
    <w:uiPriority w:val="9"/>
    <w:rsid w:val="00E32AE5"/>
    <w:rPr>
      <w:rFonts w:eastAsiaTheme="majorEastAsia" w:cstheme="majorBidi"/>
      <w:b/>
      <w:bCs/>
      <w:sz w:val="28"/>
      <w:szCs w:val="28"/>
    </w:rPr>
  </w:style>
  <w:style w:type="character" w:styleId="Hyperlink">
    <w:name w:val="Hyperlink"/>
    <w:basedOn w:val="DefaultParagraphFont"/>
    <w:uiPriority w:val="99"/>
    <w:unhideWhenUsed/>
    <w:rsid w:val="00157D40"/>
    <w:rPr>
      <w:color w:val="0000FF" w:themeColor="hyperlink"/>
      <w:u w:val="single"/>
    </w:rPr>
  </w:style>
  <w:style w:type="character" w:customStyle="1" w:styleId="Heading2Char">
    <w:name w:val="Heading 2 Char"/>
    <w:basedOn w:val="DefaultParagraphFont"/>
    <w:link w:val="Heading2"/>
    <w:uiPriority w:val="9"/>
    <w:rsid w:val="00287CFB"/>
    <w:rPr>
      <w:rFonts w:eastAsiaTheme="majorEastAsia" w:cstheme="majorBidi"/>
      <w:b/>
      <w:bCs/>
      <w:sz w:val="26"/>
      <w:szCs w:val="26"/>
    </w:rPr>
  </w:style>
  <w:style w:type="paragraph" w:styleId="ListParagraph">
    <w:name w:val="List Paragraph"/>
    <w:basedOn w:val="Normal"/>
    <w:link w:val="ListParagraphChar"/>
    <w:uiPriority w:val="34"/>
    <w:qFormat/>
    <w:rsid w:val="00287CFB"/>
    <w:pPr>
      <w:ind w:left="720"/>
      <w:contextualSpacing/>
    </w:pPr>
  </w:style>
  <w:style w:type="paragraph" w:styleId="Header">
    <w:name w:val="header"/>
    <w:basedOn w:val="Normal"/>
    <w:link w:val="HeaderChar"/>
    <w:uiPriority w:val="99"/>
    <w:unhideWhenUsed/>
    <w:rsid w:val="0079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DA"/>
    <w:rPr>
      <w:sz w:val="24"/>
    </w:rPr>
  </w:style>
  <w:style w:type="paragraph" w:styleId="Footer">
    <w:name w:val="footer"/>
    <w:basedOn w:val="Normal"/>
    <w:link w:val="FooterChar"/>
    <w:uiPriority w:val="99"/>
    <w:unhideWhenUsed/>
    <w:rsid w:val="0079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DA"/>
    <w:rPr>
      <w:sz w:val="24"/>
    </w:rPr>
  </w:style>
  <w:style w:type="table" w:styleId="TableGrid">
    <w:name w:val="Table Grid"/>
    <w:basedOn w:val="TableNormal"/>
    <w:uiPriority w:val="59"/>
    <w:rsid w:val="0045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407"/>
    <w:rPr>
      <w:rFonts w:ascii="Tahoma" w:hAnsi="Tahoma" w:cs="Tahoma"/>
      <w:sz w:val="16"/>
      <w:szCs w:val="16"/>
    </w:rPr>
  </w:style>
  <w:style w:type="character" w:customStyle="1" w:styleId="Heading4Char">
    <w:name w:val="Heading 4 Char"/>
    <w:basedOn w:val="DefaultParagraphFont"/>
    <w:link w:val="Heading4"/>
    <w:uiPriority w:val="9"/>
    <w:semiHidden/>
    <w:rsid w:val="00DD4696"/>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DD4696"/>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DD4696"/>
    <w:rPr>
      <w:rFonts w:asciiTheme="majorHAnsi" w:eastAsiaTheme="majorEastAsia" w:hAnsiTheme="majorHAnsi" w:cstheme="majorBidi"/>
      <w:i/>
      <w:iCs/>
      <w:color w:val="243F60" w:themeColor="accent1" w:themeShade="7F"/>
      <w:sz w:val="24"/>
    </w:rPr>
  </w:style>
  <w:style w:type="character" w:styleId="FollowedHyperlink">
    <w:name w:val="FollowedHyperlink"/>
    <w:basedOn w:val="DefaultParagraphFont"/>
    <w:uiPriority w:val="99"/>
    <w:semiHidden/>
    <w:unhideWhenUsed/>
    <w:rsid w:val="00AC2AA5"/>
    <w:rPr>
      <w:color w:val="800080" w:themeColor="followedHyperlink"/>
      <w:u w:val="single"/>
    </w:rPr>
  </w:style>
  <w:style w:type="paragraph" w:customStyle="1" w:styleId="Checklistbullet">
    <w:name w:val="Checklist bullet"/>
    <w:basedOn w:val="ListParagraph"/>
    <w:link w:val="ChecklistbulletChar"/>
    <w:qFormat/>
    <w:rsid w:val="00672F2B"/>
    <w:pPr>
      <w:numPr>
        <w:numId w:val="16"/>
      </w:numPr>
    </w:pPr>
  </w:style>
  <w:style w:type="character" w:customStyle="1" w:styleId="ListParagraphChar">
    <w:name w:val="List Paragraph Char"/>
    <w:basedOn w:val="DefaultParagraphFont"/>
    <w:link w:val="ListParagraph"/>
    <w:uiPriority w:val="34"/>
    <w:rsid w:val="00672F2B"/>
    <w:rPr>
      <w:sz w:val="24"/>
    </w:rPr>
  </w:style>
  <w:style w:type="character" w:customStyle="1" w:styleId="ChecklistbulletChar">
    <w:name w:val="Checklist bullet Char"/>
    <w:basedOn w:val="ListParagraphChar"/>
    <w:link w:val="Checklistbullet"/>
    <w:rsid w:val="00672F2B"/>
    <w:rPr>
      <w:sz w:val="24"/>
    </w:rPr>
  </w:style>
  <w:style w:type="character" w:styleId="CommentReference">
    <w:name w:val="annotation reference"/>
    <w:basedOn w:val="DefaultParagraphFont"/>
    <w:uiPriority w:val="99"/>
    <w:semiHidden/>
    <w:unhideWhenUsed/>
    <w:rsid w:val="00CE5FF4"/>
    <w:rPr>
      <w:sz w:val="16"/>
      <w:szCs w:val="16"/>
    </w:rPr>
  </w:style>
  <w:style w:type="paragraph" w:styleId="CommentText">
    <w:name w:val="annotation text"/>
    <w:basedOn w:val="Normal"/>
    <w:link w:val="CommentTextChar"/>
    <w:uiPriority w:val="99"/>
    <w:semiHidden/>
    <w:unhideWhenUsed/>
    <w:rsid w:val="00CE5FF4"/>
    <w:pPr>
      <w:spacing w:line="240" w:lineRule="auto"/>
    </w:pPr>
    <w:rPr>
      <w:sz w:val="20"/>
      <w:szCs w:val="20"/>
    </w:rPr>
  </w:style>
  <w:style w:type="character" w:customStyle="1" w:styleId="CommentTextChar">
    <w:name w:val="Comment Text Char"/>
    <w:basedOn w:val="DefaultParagraphFont"/>
    <w:link w:val="CommentText"/>
    <w:uiPriority w:val="99"/>
    <w:semiHidden/>
    <w:rsid w:val="00CE5FF4"/>
    <w:rPr>
      <w:sz w:val="20"/>
      <w:szCs w:val="20"/>
    </w:rPr>
  </w:style>
  <w:style w:type="paragraph" w:styleId="CommentSubject">
    <w:name w:val="annotation subject"/>
    <w:basedOn w:val="CommentText"/>
    <w:next w:val="CommentText"/>
    <w:link w:val="CommentSubjectChar"/>
    <w:uiPriority w:val="99"/>
    <w:semiHidden/>
    <w:unhideWhenUsed/>
    <w:rsid w:val="00CE5FF4"/>
    <w:rPr>
      <w:b/>
      <w:bCs/>
    </w:rPr>
  </w:style>
  <w:style w:type="character" w:customStyle="1" w:styleId="CommentSubjectChar">
    <w:name w:val="Comment Subject Char"/>
    <w:basedOn w:val="CommentTextChar"/>
    <w:link w:val="CommentSubject"/>
    <w:uiPriority w:val="99"/>
    <w:semiHidden/>
    <w:rsid w:val="00CE5FF4"/>
    <w:rPr>
      <w:b/>
      <w:bCs/>
      <w:sz w:val="20"/>
      <w:szCs w:val="20"/>
    </w:rPr>
  </w:style>
  <w:style w:type="paragraph" w:styleId="TOCHeading">
    <w:name w:val="TOC Heading"/>
    <w:basedOn w:val="Heading1"/>
    <w:next w:val="Normal"/>
    <w:uiPriority w:val="39"/>
    <w:semiHidden/>
    <w:unhideWhenUsed/>
    <w:qFormat/>
    <w:rsid w:val="00424DCF"/>
    <w:pPr>
      <w:pageBreakBefore w:val="0"/>
      <w:spacing w:after="0"/>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424DCF"/>
    <w:pPr>
      <w:spacing w:after="100"/>
    </w:pPr>
  </w:style>
  <w:style w:type="paragraph" w:styleId="TOC2">
    <w:name w:val="toc 2"/>
    <w:basedOn w:val="Normal"/>
    <w:next w:val="Normal"/>
    <w:autoRedefine/>
    <w:uiPriority w:val="39"/>
    <w:unhideWhenUsed/>
    <w:rsid w:val="00424DC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39453">
      <w:bodyDiv w:val="1"/>
      <w:marLeft w:val="0"/>
      <w:marRight w:val="0"/>
      <w:marTop w:val="0"/>
      <w:marBottom w:val="0"/>
      <w:divBdr>
        <w:top w:val="none" w:sz="0" w:space="0" w:color="auto"/>
        <w:left w:val="none" w:sz="0" w:space="0" w:color="auto"/>
        <w:bottom w:val="none" w:sz="0" w:space="0" w:color="auto"/>
        <w:right w:val="none" w:sz="0" w:space="0" w:color="auto"/>
      </w:divBdr>
    </w:div>
    <w:div w:id="706491544">
      <w:bodyDiv w:val="1"/>
      <w:marLeft w:val="0"/>
      <w:marRight w:val="0"/>
      <w:marTop w:val="0"/>
      <w:marBottom w:val="0"/>
      <w:divBdr>
        <w:top w:val="none" w:sz="0" w:space="0" w:color="auto"/>
        <w:left w:val="none" w:sz="0" w:space="0" w:color="auto"/>
        <w:bottom w:val="none" w:sz="0" w:space="0" w:color="auto"/>
        <w:right w:val="none" w:sz="0" w:space="0" w:color="auto"/>
      </w:divBdr>
    </w:div>
    <w:div w:id="962536986">
      <w:bodyDiv w:val="1"/>
      <w:marLeft w:val="0"/>
      <w:marRight w:val="0"/>
      <w:marTop w:val="0"/>
      <w:marBottom w:val="0"/>
      <w:divBdr>
        <w:top w:val="none" w:sz="0" w:space="0" w:color="auto"/>
        <w:left w:val="none" w:sz="0" w:space="0" w:color="auto"/>
        <w:bottom w:val="none" w:sz="0" w:space="0" w:color="auto"/>
        <w:right w:val="none" w:sz="0" w:space="0" w:color="auto"/>
      </w:divBdr>
    </w:div>
    <w:div w:id="1201432437">
      <w:bodyDiv w:val="1"/>
      <w:marLeft w:val="0"/>
      <w:marRight w:val="0"/>
      <w:marTop w:val="0"/>
      <w:marBottom w:val="0"/>
      <w:divBdr>
        <w:top w:val="none" w:sz="0" w:space="0" w:color="auto"/>
        <w:left w:val="none" w:sz="0" w:space="0" w:color="auto"/>
        <w:bottom w:val="none" w:sz="0" w:space="0" w:color="auto"/>
        <w:right w:val="none" w:sz="0" w:space="0" w:color="auto"/>
      </w:divBdr>
    </w:div>
    <w:div w:id="1402869768">
      <w:bodyDiv w:val="1"/>
      <w:marLeft w:val="0"/>
      <w:marRight w:val="0"/>
      <w:marTop w:val="0"/>
      <w:marBottom w:val="0"/>
      <w:divBdr>
        <w:top w:val="none" w:sz="0" w:space="0" w:color="auto"/>
        <w:left w:val="none" w:sz="0" w:space="0" w:color="auto"/>
        <w:bottom w:val="none" w:sz="0" w:space="0" w:color="auto"/>
        <w:right w:val="none" w:sz="0" w:space="0" w:color="auto"/>
      </w:divBdr>
      <w:divsChild>
        <w:div w:id="1494182248">
          <w:marLeft w:val="0"/>
          <w:marRight w:val="0"/>
          <w:marTop w:val="0"/>
          <w:marBottom w:val="0"/>
          <w:divBdr>
            <w:top w:val="none" w:sz="0" w:space="0" w:color="auto"/>
            <w:left w:val="none" w:sz="0" w:space="0" w:color="auto"/>
            <w:bottom w:val="none" w:sz="0" w:space="0" w:color="auto"/>
            <w:right w:val="none" w:sz="0" w:space="0" w:color="auto"/>
          </w:divBdr>
          <w:divsChild>
            <w:div w:id="1300919793">
              <w:marLeft w:val="0"/>
              <w:marRight w:val="0"/>
              <w:marTop w:val="0"/>
              <w:marBottom w:val="0"/>
              <w:divBdr>
                <w:top w:val="none" w:sz="0" w:space="0" w:color="auto"/>
                <w:left w:val="none" w:sz="0" w:space="0" w:color="auto"/>
                <w:bottom w:val="none" w:sz="0" w:space="0" w:color="auto"/>
                <w:right w:val="none" w:sz="0" w:space="0" w:color="auto"/>
              </w:divBdr>
              <w:divsChild>
                <w:div w:id="11635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52785">
      <w:bodyDiv w:val="1"/>
      <w:marLeft w:val="0"/>
      <w:marRight w:val="0"/>
      <w:marTop w:val="0"/>
      <w:marBottom w:val="0"/>
      <w:divBdr>
        <w:top w:val="none" w:sz="0" w:space="0" w:color="auto"/>
        <w:left w:val="none" w:sz="0" w:space="0" w:color="auto"/>
        <w:bottom w:val="none" w:sz="0" w:space="0" w:color="auto"/>
        <w:right w:val="none" w:sz="0" w:space="0" w:color="auto"/>
      </w:divBdr>
    </w:div>
    <w:div w:id="1754084655">
      <w:bodyDiv w:val="1"/>
      <w:marLeft w:val="0"/>
      <w:marRight w:val="0"/>
      <w:marTop w:val="0"/>
      <w:marBottom w:val="0"/>
      <w:divBdr>
        <w:top w:val="none" w:sz="0" w:space="0" w:color="auto"/>
        <w:left w:val="none" w:sz="0" w:space="0" w:color="auto"/>
        <w:bottom w:val="none" w:sz="0" w:space="0" w:color="auto"/>
        <w:right w:val="none" w:sz="0" w:space="0" w:color="auto"/>
      </w:divBdr>
    </w:div>
    <w:div w:id="20161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c.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pc.on.ca/wp-content/uploads/resources/fact-16-e.pdf" TargetMode="External"/><Relationship Id="rId3" Type="http://schemas.openxmlformats.org/officeDocument/2006/relationships/hyperlink" Target="https://www.ipc.on.ca/wp-content/uploads/resources/fact-08-e.pdf" TargetMode="External"/><Relationship Id="rId7" Type="http://schemas.openxmlformats.org/officeDocument/2006/relationships/hyperlink" Target="https://www.ipc.on.ca/wp-content/uploads/resources/detect_deter.pdf" TargetMode="External"/><Relationship Id="rId12" Type="http://schemas.openxmlformats.org/officeDocument/2006/relationships/hyperlink" Target="https://www.ipc.on.ca/wp-content/uploads/2017/08/2019-health-privacy-breach-notification-guidelines.pdf" TargetMode="External"/><Relationship Id="rId2" Type="http://schemas.openxmlformats.org/officeDocument/2006/relationships/hyperlink" Target="http://fightspam.gc.ca/eic/site/030.nsf/eng/home" TargetMode="External"/><Relationship Id="rId1" Type="http://schemas.openxmlformats.org/officeDocument/2006/relationships/hyperlink" Target="http://laws-lois.justice.gc.ca/eng/acts/P-8.6/index.html" TargetMode="External"/><Relationship Id="rId6" Type="http://schemas.openxmlformats.org/officeDocument/2006/relationships/hyperlink" Target="https://decisions.ipc.on.ca/ipc-cipvp/phipa/en/item/417282/index.do" TargetMode="External"/><Relationship Id="rId11" Type="http://schemas.openxmlformats.org/officeDocument/2006/relationships/hyperlink" Target="https://www.ipc.on.ca/wp-content/uploads/2018/10/health-privacy-breach-guidelines.pdf" TargetMode="External"/><Relationship Id="rId5" Type="http://schemas.openxmlformats.org/officeDocument/2006/relationships/hyperlink" Target="https://decisions.ipc.on.ca/ipc-cipvp/phipa/en/item/134659/index.do" TargetMode="External"/><Relationship Id="rId10" Type="http://schemas.openxmlformats.org/officeDocument/2006/relationships/hyperlink" Target="https://www.ipc.on.ca/wp-content/uploads/Resources/fact-18-e.pdf" TargetMode="External"/><Relationship Id="rId4" Type="http://schemas.openxmlformats.org/officeDocument/2006/relationships/hyperlink" Target="https://decisions.ipc.on.ca/ipc-cipvp/phipa/en/item/135119/index.do" TargetMode="External"/><Relationship Id="rId9" Type="http://schemas.openxmlformats.org/officeDocument/2006/relationships/hyperlink" Target="https://www.ipc.on.ca/wp-content/uploads/Resources/safeguarding-privacy-on-mobile-device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0986-7574-4723-8B0B-0D40FF41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10698</Words>
  <Characters>60985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Richler</dc:creator>
  <cp:lastModifiedBy>Connie Fong</cp:lastModifiedBy>
  <cp:revision>5</cp:revision>
  <dcterms:created xsi:type="dcterms:W3CDTF">2020-07-22T14:21:00Z</dcterms:created>
  <dcterms:modified xsi:type="dcterms:W3CDTF">2020-07-27T14:16:00Z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