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33" w:rsidRDefault="001E7B33">
      <w:pPr>
        <w:pStyle w:val="BodyText"/>
        <w:rPr>
          <w:rFonts w:ascii="Times New Roman"/>
        </w:rPr>
      </w:pPr>
    </w:p>
    <w:p w:rsidR="001E7B33" w:rsidRDefault="001E7B33">
      <w:pPr>
        <w:pStyle w:val="BodyText"/>
        <w:rPr>
          <w:rFonts w:ascii="Times New Roman"/>
        </w:rPr>
      </w:pPr>
    </w:p>
    <w:p w:rsidR="001E7B33" w:rsidRDefault="001E7B33">
      <w:pPr>
        <w:pStyle w:val="BodyText"/>
        <w:rPr>
          <w:rFonts w:ascii="Times New Roman"/>
        </w:rPr>
      </w:pPr>
    </w:p>
    <w:p w:rsidR="001E7B33" w:rsidRDefault="001E7B33">
      <w:pPr>
        <w:pStyle w:val="BodyText"/>
        <w:rPr>
          <w:rFonts w:ascii="Times New Roman"/>
        </w:rPr>
      </w:pPr>
    </w:p>
    <w:p w:rsidR="001E7B33" w:rsidRDefault="001E7B33">
      <w:pPr>
        <w:pStyle w:val="BodyText"/>
        <w:spacing w:before="10"/>
        <w:rPr>
          <w:rFonts w:ascii="Times New Roman"/>
          <w:sz w:val="19"/>
        </w:rPr>
      </w:pPr>
    </w:p>
    <w:p w:rsidR="001E7B33" w:rsidRPr="004D1E43" w:rsidRDefault="006A03D6" w:rsidP="004D1E43">
      <w:pPr>
        <w:spacing w:before="100"/>
        <w:ind w:left="1284" w:right="4466"/>
        <w:jc w:val="center"/>
        <w:rPr>
          <w:rFonts w:ascii="TheSans B3 Light"/>
          <w:sz w:val="50"/>
        </w:rPr>
      </w:pPr>
      <w:r>
        <w:rPr>
          <w:rFonts w:ascii="TheSans B3 Light"/>
          <w:color w:val="231F20"/>
          <w:sz w:val="50"/>
        </w:rPr>
        <w:t>Access to Facilities and Charts</w:t>
      </w:r>
    </w:p>
    <w:p w:rsidR="00F5261A" w:rsidRDefault="00F5261A">
      <w:pPr>
        <w:pStyle w:val="BodyText"/>
        <w:spacing w:before="6"/>
        <w:rPr>
          <w:rFonts w:ascii="TheSans B3 Light"/>
          <w:sz w:val="61"/>
        </w:rPr>
      </w:pPr>
      <w:bookmarkStart w:id="0" w:name="_GoBack"/>
      <w:bookmarkEnd w:id="0"/>
    </w:p>
    <w:p w:rsidR="001E7B33" w:rsidRDefault="006A03D6">
      <w:pPr>
        <w:pStyle w:val="BodyText"/>
        <w:spacing w:before="1" w:line="276" w:lineRule="auto"/>
        <w:ind w:left="1593" w:right="2903" w:hanging="1"/>
      </w:pPr>
      <w:r>
        <w:rPr>
          <w:color w:val="231F20"/>
        </w:rPr>
        <w:t xml:space="preserve">Practice </w:t>
      </w:r>
      <w:r w:rsidR="00FA525E">
        <w:rPr>
          <w:color w:val="231F20"/>
        </w:rPr>
        <w:t>a</w:t>
      </w:r>
      <w:r>
        <w:rPr>
          <w:color w:val="231F20"/>
        </w:rPr>
        <w:t>ssessments have been in place, as part of the Quality Assurance Program, at the College of Physiotherapists of Ontario.</w:t>
      </w:r>
    </w:p>
    <w:p w:rsidR="001E7B33" w:rsidRDefault="001E7B33">
      <w:pPr>
        <w:pStyle w:val="BodyText"/>
        <w:spacing w:before="6"/>
        <w:rPr>
          <w:sz w:val="24"/>
        </w:rPr>
      </w:pPr>
    </w:p>
    <w:p w:rsidR="001E7B33" w:rsidRDefault="006A03D6">
      <w:pPr>
        <w:pStyle w:val="BodyText"/>
        <w:spacing w:line="276" w:lineRule="auto"/>
        <w:ind w:left="1593" w:right="1546" w:hanging="1"/>
      </w:pPr>
      <w:r>
        <w:rPr>
          <w:color w:val="231F20"/>
        </w:rPr>
        <w:t xml:space="preserve">One of the questions that physiotherapists or employers may have about the </w:t>
      </w:r>
      <w:r w:rsidR="00FA525E">
        <w:rPr>
          <w:color w:val="231F20"/>
        </w:rPr>
        <w:t>p</w:t>
      </w:r>
      <w:r>
        <w:rPr>
          <w:color w:val="231F20"/>
        </w:rPr>
        <w:t xml:space="preserve">ractice </w:t>
      </w:r>
      <w:r w:rsidR="00FA525E">
        <w:rPr>
          <w:color w:val="231F20"/>
        </w:rPr>
        <w:t>a</w:t>
      </w:r>
      <w:r>
        <w:rPr>
          <w:color w:val="231F20"/>
        </w:rPr>
        <w:t>ssessment relates to the College’s authority to enter premises and review charts. This does have implications regarding confidentiality and privacy of patient information. This document is intended to provide information on these issues and clarify the College’s right to access premises and view patient records.</w:t>
      </w:r>
    </w:p>
    <w:p w:rsidR="001E7B33" w:rsidRDefault="001E7B33">
      <w:pPr>
        <w:pStyle w:val="BodyText"/>
        <w:spacing w:before="8"/>
        <w:rPr>
          <w:sz w:val="22"/>
        </w:rPr>
      </w:pPr>
    </w:p>
    <w:p w:rsidR="001E7B33" w:rsidRDefault="006A03D6">
      <w:pPr>
        <w:pStyle w:val="BodyText"/>
        <w:spacing w:line="254" w:lineRule="auto"/>
        <w:ind w:left="1594" w:right="1981" w:hanging="1"/>
      </w:pPr>
      <w:r>
        <w:rPr>
          <w:color w:val="231F20"/>
        </w:rPr>
        <w:t>Must a physiotherapist or employer permit the assessment, including access to business premises and client records?</w:t>
      </w:r>
    </w:p>
    <w:p w:rsidR="001E7B33" w:rsidRDefault="001E7B33">
      <w:pPr>
        <w:pStyle w:val="BodyText"/>
        <w:spacing w:before="3"/>
        <w:rPr>
          <w:sz w:val="19"/>
        </w:rPr>
      </w:pPr>
    </w:p>
    <w:p w:rsidR="001E7B33" w:rsidRDefault="006A03D6">
      <w:pPr>
        <w:pStyle w:val="BodyText"/>
        <w:ind w:left="1593"/>
      </w:pPr>
      <w:r>
        <w:rPr>
          <w:color w:val="231F20"/>
        </w:rPr>
        <w:t>The answer is yes. Both physios and their employers are legally required to cooperate with</w:t>
      </w:r>
    </w:p>
    <w:p w:rsidR="001E7B33" w:rsidRDefault="006A03D6">
      <w:pPr>
        <w:pStyle w:val="BodyText"/>
        <w:spacing w:before="32" w:line="276" w:lineRule="auto"/>
        <w:ind w:left="1593" w:right="1981" w:hanging="1"/>
      </w:pPr>
      <w:r>
        <w:rPr>
          <w:color w:val="231F20"/>
        </w:rPr>
        <w:t>the practice assessment. This cooperation includes allowing access to the premises upon which you work to a College assessor and providing access to records, including client records, and information</w:t>
      </w:r>
    </w:p>
    <w:p w:rsidR="001E7B33" w:rsidRDefault="006A03D6">
      <w:pPr>
        <w:pStyle w:val="BodyText"/>
        <w:spacing w:line="276" w:lineRule="auto"/>
        <w:ind w:left="1593" w:right="1184" w:hanging="1"/>
      </w:pPr>
      <w:r>
        <w:rPr>
          <w:color w:val="231F20"/>
        </w:rPr>
        <w:t>from those records, to the assessor. For a physiotherapist, the duty of cooperation also includes answering questions posed by an Assessor to evaluate the physiotherapist’s knowledge, skill and judgment. The consent of the client is NOT required for the College to obtain this access and information.</w:t>
      </w:r>
    </w:p>
    <w:p w:rsidR="001E7B33" w:rsidRDefault="001E7B33">
      <w:pPr>
        <w:pStyle w:val="BodyText"/>
        <w:spacing w:before="11"/>
        <w:rPr>
          <w:sz w:val="22"/>
        </w:rPr>
      </w:pPr>
    </w:p>
    <w:p w:rsidR="001E7B33" w:rsidRDefault="006A03D6">
      <w:pPr>
        <w:pStyle w:val="BodyText"/>
        <w:ind w:left="1594"/>
      </w:pPr>
      <w:r>
        <w:rPr>
          <w:color w:val="231F20"/>
        </w:rPr>
        <w:t>Please be assured that the Quality Assurance program will keep this information strictly confidential.</w:t>
      </w:r>
    </w:p>
    <w:p w:rsidR="001E7B33" w:rsidRDefault="006A03D6">
      <w:pPr>
        <w:pStyle w:val="BodyText"/>
        <w:spacing w:before="33"/>
        <w:ind w:left="1594"/>
      </w:pPr>
      <w:r>
        <w:rPr>
          <w:color w:val="231F20"/>
        </w:rPr>
        <w:t>The information cannot be shared with other staff at the College (the only exception being if you</w:t>
      </w:r>
    </w:p>
    <w:p w:rsidR="001E7B33" w:rsidRDefault="006A03D6">
      <w:pPr>
        <w:pStyle w:val="BodyText"/>
        <w:spacing w:before="33" w:line="276" w:lineRule="auto"/>
        <w:ind w:left="1593" w:right="1357" w:firstLine="1"/>
      </w:pPr>
      <w:r>
        <w:rPr>
          <w:color w:val="231F20"/>
        </w:rPr>
        <w:t>g</w:t>
      </w:r>
      <w:r w:rsidR="00FA525E">
        <w:rPr>
          <w:color w:val="231F20"/>
        </w:rPr>
        <w:t>i</w:t>
      </w:r>
      <w:r>
        <w:rPr>
          <w:color w:val="231F20"/>
        </w:rPr>
        <w:t>ve false information). The Regulated Health Professions Act makes it quite clear that the College right of access overrides all other confidentiality provisions. This duty to cooperate includes facilities and records maintained under any other legislation or authority including public hospitals, CCACs, long-term care facilities and the private sector.</w:t>
      </w:r>
    </w:p>
    <w:p w:rsidR="001E7B33" w:rsidRDefault="001E7B33">
      <w:pPr>
        <w:pStyle w:val="BodyText"/>
        <w:spacing w:before="9"/>
        <w:rPr>
          <w:sz w:val="22"/>
        </w:rPr>
      </w:pPr>
    </w:p>
    <w:p w:rsidR="001E7B33" w:rsidRDefault="006A03D6">
      <w:pPr>
        <w:pStyle w:val="BodyText"/>
        <w:spacing w:line="276" w:lineRule="auto"/>
        <w:ind w:left="1593" w:right="1981" w:hanging="1"/>
      </w:pPr>
      <w:r>
        <w:rPr>
          <w:color w:val="231F20"/>
        </w:rPr>
        <w:t>The Personal Health Information Protection Act, 2004, supports the Assessor’s and Committee’s right of access and that custodians of personal health information can share information with the College without patient consent.</w:t>
      </w:r>
    </w:p>
    <w:p w:rsidR="001E7B33" w:rsidRDefault="001E7B33">
      <w:pPr>
        <w:pStyle w:val="BodyText"/>
        <w:spacing w:before="9"/>
        <w:rPr>
          <w:sz w:val="22"/>
        </w:rPr>
      </w:pPr>
    </w:p>
    <w:p w:rsidR="001E7B33" w:rsidRDefault="006A03D6">
      <w:pPr>
        <w:pStyle w:val="BodyText"/>
        <w:ind w:left="1593"/>
      </w:pPr>
      <w:r>
        <w:rPr>
          <w:color w:val="231F20"/>
        </w:rPr>
        <w:t>Attached is a copy of the relevant excerpts of the legislation.</w:t>
      </w:r>
    </w:p>
    <w:p w:rsidR="001E7B33" w:rsidRDefault="001E7B33">
      <w:pPr>
        <w:pStyle w:val="BodyText"/>
        <w:spacing w:before="9"/>
        <w:rPr>
          <w:sz w:val="25"/>
        </w:rPr>
      </w:pPr>
    </w:p>
    <w:p w:rsidR="001E7B33" w:rsidRDefault="00F25E0F">
      <w:pPr>
        <w:pStyle w:val="BodyText"/>
        <w:spacing w:line="276" w:lineRule="auto"/>
        <w:ind w:left="1593" w:right="1981" w:hanging="1"/>
      </w:pPr>
      <w:r w:rsidRPr="00F25E0F">
        <w:rPr>
          <w:color w:val="231F20"/>
        </w:rPr>
        <w:t xml:space="preserve">If you are unclear as to your </w:t>
      </w:r>
      <w:r>
        <w:rPr>
          <w:color w:val="231F20"/>
        </w:rPr>
        <w:t>duty to cooperate</w:t>
      </w:r>
      <w:r w:rsidR="006A03D6">
        <w:rPr>
          <w:color w:val="231F20"/>
        </w:rPr>
        <w:t>, please review the attached provisions or speak with an appropriate lawyer or contact Shelley Martin, Manager, Quality Assurance,</w:t>
      </w:r>
    </w:p>
    <w:p w:rsidR="001E7B33" w:rsidRDefault="006A03D6">
      <w:pPr>
        <w:pStyle w:val="BodyText"/>
        <w:spacing w:line="226" w:lineRule="exact"/>
        <w:ind w:left="1593"/>
      </w:pPr>
      <w:r>
        <w:rPr>
          <w:color w:val="231F20"/>
        </w:rPr>
        <w:t>at 416-591-3828 ext. 224 or 1-800-583-5885 ext. 224 at the College.</w:t>
      </w:r>
    </w:p>
    <w:p w:rsidR="001E7B33" w:rsidRDefault="001E7B33">
      <w:pPr>
        <w:spacing w:line="226" w:lineRule="exact"/>
        <w:sectPr w:rsidR="001E7B33">
          <w:headerReference w:type="default" r:id="rId8"/>
          <w:footerReference w:type="default" r:id="rId9"/>
          <w:type w:val="continuous"/>
          <w:pgSz w:w="12240" w:h="15840"/>
          <w:pgMar w:top="1380" w:right="0" w:bottom="1000" w:left="0" w:header="0" w:footer="802" w:gutter="0"/>
          <w:pgNumType w:start="1"/>
          <w:cols w:space="720"/>
        </w:sectPr>
      </w:pPr>
    </w:p>
    <w:p w:rsidR="001E7B33" w:rsidRDefault="001E7B33">
      <w:pPr>
        <w:pStyle w:val="BodyText"/>
      </w:pPr>
    </w:p>
    <w:p w:rsidR="001E7B33" w:rsidRDefault="001E7B33">
      <w:pPr>
        <w:pStyle w:val="BodyText"/>
      </w:pPr>
    </w:p>
    <w:p w:rsidR="001E7B33" w:rsidRDefault="001E7B33">
      <w:pPr>
        <w:pStyle w:val="BodyText"/>
      </w:pPr>
    </w:p>
    <w:p w:rsidR="001E7B33" w:rsidRDefault="001E7B33">
      <w:pPr>
        <w:pStyle w:val="BodyText"/>
      </w:pPr>
    </w:p>
    <w:p w:rsidR="001E7B33" w:rsidRDefault="006A03D6">
      <w:pPr>
        <w:pStyle w:val="Heading1"/>
        <w:spacing w:before="228"/>
      </w:pPr>
      <w:r>
        <w:rPr>
          <w:color w:val="231F20"/>
        </w:rPr>
        <w:t>Relevant Excerpts of Legislation</w:t>
      </w:r>
    </w:p>
    <w:p w:rsidR="001E7B33" w:rsidRDefault="006A03D6">
      <w:pPr>
        <w:spacing w:before="108"/>
        <w:ind w:left="1800"/>
        <w:rPr>
          <w:rFonts w:ascii="TheSans B3 Light"/>
          <w:i/>
          <w:sz w:val="28"/>
        </w:rPr>
      </w:pPr>
      <w:r>
        <w:rPr>
          <w:rFonts w:ascii="TheSans B3 Light"/>
          <w:i/>
          <w:color w:val="231F20"/>
          <w:sz w:val="28"/>
        </w:rPr>
        <w:t>Health Professions Procedural Code</w:t>
      </w:r>
    </w:p>
    <w:p w:rsidR="001E7B33" w:rsidRDefault="006A03D6">
      <w:pPr>
        <w:pStyle w:val="Heading1"/>
        <w:spacing w:before="108"/>
      </w:pPr>
      <w:r>
        <w:rPr>
          <w:color w:val="231F20"/>
        </w:rPr>
        <w:t>Which is Schedule 2 of the Regulated Health Professions Act</w:t>
      </w:r>
    </w:p>
    <w:p w:rsidR="001E7B33" w:rsidRDefault="001E7B33">
      <w:pPr>
        <w:pStyle w:val="BodyText"/>
        <w:spacing w:before="10"/>
        <w:rPr>
          <w:rFonts w:ascii="TheSans B3 Light"/>
          <w:sz w:val="31"/>
        </w:rPr>
      </w:pPr>
    </w:p>
    <w:p w:rsidR="001E7B33" w:rsidRDefault="006A03D6">
      <w:pPr>
        <w:pStyle w:val="Heading2"/>
      </w:pPr>
      <w:r>
        <w:rPr>
          <w:color w:val="231F20"/>
          <w:w w:val="95"/>
        </w:rPr>
        <w:t>Co-operation with Committee and assessors</w:t>
      </w:r>
    </w:p>
    <w:p w:rsidR="001E7B33" w:rsidRDefault="001E7B33">
      <w:pPr>
        <w:pStyle w:val="BodyText"/>
        <w:spacing w:before="8"/>
        <w:rPr>
          <w:rFonts w:ascii="TheSans B6 SemiBold"/>
          <w:b/>
          <w:sz w:val="25"/>
        </w:rPr>
      </w:pPr>
    </w:p>
    <w:p w:rsidR="001E7B33" w:rsidRDefault="006A03D6">
      <w:pPr>
        <w:pStyle w:val="ListParagraph"/>
        <w:numPr>
          <w:ilvl w:val="0"/>
          <w:numId w:val="4"/>
        </w:numPr>
        <w:tabs>
          <w:tab w:val="left" w:pos="2153"/>
        </w:tabs>
        <w:spacing w:before="1" w:line="276" w:lineRule="auto"/>
        <w:ind w:right="2528" w:hanging="360"/>
        <w:rPr>
          <w:sz w:val="20"/>
        </w:rPr>
      </w:pPr>
      <w:r>
        <w:rPr>
          <w:color w:val="231F20"/>
          <w:sz w:val="20"/>
        </w:rPr>
        <w:t>(1) Every member shall co-operate with the Quality Assurance Committee and with any assessor it appoints and in particular every member</w:t>
      </w:r>
      <w:r>
        <w:rPr>
          <w:color w:val="231F20"/>
          <w:spacing w:val="-2"/>
          <w:sz w:val="20"/>
        </w:rPr>
        <w:t xml:space="preserve"> </w:t>
      </w:r>
      <w:r>
        <w:rPr>
          <w:color w:val="231F20"/>
          <w:sz w:val="20"/>
        </w:rPr>
        <w:t>shall,</w:t>
      </w:r>
    </w:p>
    <w:p w:rsidR="001E7B33" w:rsidRDefault="006A03D6">
      <w:pPr>
        <w:pStyle w:val="ListParagraph"/>
        <w:numPr>
          <w:ilvl w:val="1"/>
          <w:numId w:val="4"/>
        </w:numPr>
        <w:tabs>
          <w:tab w:val="left" w:pos="2160"/>
          <w:tab w:val="left" w:pos="2161"/>
        </w:tabs>
        <w:spacing w:line="226" w:lineRule="exact"/>
        <w:rPr>
          <w:sz w:val="20"/>
        </w:rPr>
      </w:pPr>
      <w:r>
        <w:rPr>
          <w:color w:val="231F20"/>
          <w:sz w:val="20"/>
        </w:rPr>
        <w:t>permit the assessor to enter and inspect the premises where the member</w:t>
      </w:r>
      <w:r>
        <w:rPr>
          <w:color w:val="231F20"/>
          <w:spacing w:val="-4"/>
          <w:sz w:val="20"/>
        </w:rPr>
        <w:t xml:space="preserve"> </w:t>
      </w:r>
      <w:r>
        <w:rPr>
          <w:color w:val="231F20"/>
          <w:sz w:val="20"/>
        </w:rPr>
        <w:t>practises;</w:t>
      </w:r>
    </w:p>
    <w:p w:rsidR="001E7B33" w:rsidRDefault="006A03D6">
      <w:pPr>
        <w:pStyle w:val="ListParagraph"/>
        <w:numPr>
          <w:ilvl w:val="1"/>
          <w:numId w:val="4"/>
        </w:numPr>
        <w:tabs>
          <w:tab w:val="left" w:pos="2160"/>
          <w:tab w:val="left" w:pos="2161"/>
        </w:tabs>
        <w:spacing w:before="33"/>
        <w:rPr>
          <w:sz w:val="20"/>
        </w:rPr>
      </w:pPr>
      <w:r>
        <w:rPr>
          <w:color w:val="231F20"/>
          <w:sz w:val="20"/>
        </w:rPr>
        <w:t>permit the assessor to inspect the member’s records of the care of</w:t>
      </w:r>
      <w:r>
        <w:rPr>
          <w:color w:val="231F20"/>
          <w:spacing w:val="-21"/>
          <w:sz w:val="20"/>
        </w:rPr>
        <w:t xml:space="preserve"> </w:t>
      </w:r>
      <w:r>
        <w:rPr>
          <w:color w:val="231F20"/>
          <w:sz w:val="20"/>
        </w:rPr>
        <w:t>patients;</w:t>
      </w:r>
    </w:p>
    <w:p w:rsidR="001E7B33" w:rsidRDefault="006A03D6">
      <w:pPr>
        <w:pStyle w:val="ListParagraph"/>
        <w:numPr>
          <w:ilvl w:val="1"/>
          <w:numId w:val="4"/>
        </w:numPr>
        <w:tabs>
          <w:tab w:val="left" w:pos="2160"/>
          <w:tab w:val="left" w:pos="2161"/>
        </w:tabs>
        <w:spacing w:before="33" w:line="276" w:lineRule="auto"/>
        <w:ind w:right="1568"/>
        <w:rPr>
          <w:sz w:val="20"/>
        </w:rPr>
      </w:pPr>
      <w:r>
        <w:rPr>
          <w:color w:val="231F20"/>
          <w:sz w:val="20"/>
        </w:rPr>
        <w:t>give the Committee or the assessor the information in respect of the care of patients or in respect of</w:t>
      </w:r>
      <w:r>
        <w:rPr>
          <w:color w:val="231F20"/>
          <w:spacing w:val="-3"/>
          <w:sz w:val="20"/>
        </w:rPr>
        <w:t xml:space="preserve"> </w:t>
      </w:r>
      <w:r>
        <w:rPr>
          <w:color w:val="231F20"/>
          <w:sz w:val="20"/>
        </w:rPr>
        <w:t>the</w:t>
      </w:r>
      <w:r>
        <w:rPr>
          <w:color w:val="231F20"/>
          <w:spacing w:val="-3"/>
          <w:sz w:val="20"/>
        </w:rPr>
        <w:t xml:space="preserve"> </w:t>
      </w:r>
      <w:r>
        <w:rPr>
          <w:color w:val="231F20"/>
          <w:sz w:val="20"/>
        </w:rPr>
        <w:t>member’s</w:t>
      </w:r>
      <w:r>
        <w:rPr>
          <w:color w:val="231F20"/>
          <w:spacing w:val="-3"/>
          <w:sz w:val="20"/>
        </w:rPr>
        <w:t xml:space="preserve"> </w:t>
      </w:r>
      <w:r>
        <w:rPr>
          <w:color w:val="231F20"/>
          <w:sz w:val="20"/>
        </w:rPr>
        <w:t>records</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care</w:t>
      </w:r>
      <w:r>
        <w:rPr>
          <w:color w:val="231F20"/>
          <w:spacing w:val="-3"/>
          <w:sz w:val="20"/>
        </w:rPr>
        <w:t xml:space="preserve"> </w:t>
      </w:r>
      <w:r>
        <w:rPr>
          <w:color w:val="231F20"/>
          <w:sz w:val="20"/>
        </w:rPr>
        <w:t>of</w:t>
      </w:r>
      <w:r>
        <w:rPr>
          <w:color w:val="231F20"/>
          <w:spacing w:val="-3"/>
          <w:sz w:val="20"/>
        </w:rPr>
        <w:t xml:space="preserve"> </w:t>
      </w:r>
      <w:r>
        <w:rPr>
          <w:color w:val="231F20"/>
          <w:sz w:val="20"/>
        </w:rPr>
        <w:t>patients</w:t>
      </w:r>
      <w:r>
        <w:rPr>
          <w:color w:val="231F20"/>
          <w:spacing w:val="-3"/>
          <w:sz w:val="20"/>
        </w:rPr>
        <w:t xml:space="preserve"> </w:t>
      </w:r>
      <w:r>
        <w:rPr>
          <w:color w:val="231F20"/>
          <w:sz w:val="20"/>
        </w:rPr>
        <w:t>the</w:t>
      </w:r>
      <w:r>
        <w:rPr>
          <w:color w:val="231F20"/>
          <w:spacing w:val="-3"/>
          <w:sz w:val="20"/>
        </w:rPr>
        <w:t xml:space="preserve"> </w:t>
      </w:r>
      <w:r>
        <w:rPr>
          <w:color w:val="231F20"/>
          <w:sz w:val="20"/>
        </w:rPr>
        <w:t>Committee</w:t>
      </w:r>
      <w:r>
        <w:rPr>
          <w:color w:val="231F20"/>
          <w:spacing w:val="-3"/>
          <w:sz w:val="20"/>
        </w:rPr>
        <w:t xml:space="preserve"> </w:t>
      </w:r>
      <w:r>
        <w:rPr>
          <w:color w:val="231F20"/>
          <w:sz w:val="20"/>
        </w:rPr>
        <w:t>or</w:t>
      </w:r>
      <w:r>
        <w:rPr>
          <w:color w:val="231F20"/>
          <w:spacing w:val="-3"/>
          <w:sz w:val="20"/>
        </w:rPr>
        <w:t xml:space="preserve"> </w:t>
      </w:r>
      <w:r>
        <w:rPr>
          <w:color w:val="231F20"/>
          <w:sz w:val="20"/>
        </w:rPr>
        <w:t>assessor</w:t>
      </w:r>
      <w:r>
        <w:rPr>
          <w:color w:val="231F20"/>
          <w:spacing w:val="-3"/>
          <w:sz w:val="20"/>
        </w:rPr>
        <w:t xml:space="preserve"> </w:t>
      </w:r>
      <w:r>
        <w:rPr>
          <w:color w:val="231F20"/>
          <w:sz w:val="20"/>
        </w:rPr>
        <w:t>requests</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form</w:t>
      </w:r>
      <w:r>
        <w:rPr>
          <w:color w:val="231F20"/>
          <w:spacing w:val="-3"/>
          <w:sz w:val="20"/>
        </w:rPr>
        <w:t xml:space="preserve"> </w:t>
      </w:r>
      <w:r>
        <w:rPr>
          <w:color w:val="231F20"/>
          <w:sz w:val="20"/>
        </w:rPr>
        <w:t>the Committee or assessor</w:t>
      </w:r>
      <w:r>
        <w:rPr>
          <w:color w:val="231F20"/>
          <w:spacing w:val="-9"/>
          <w:sz w:val="20"/>
        </w:rPr>
        <w:t xml:space="preserve"> </w:t>
      </w:r>
      <w:r>
        <w:rPr>
          <w:color w:val="231F20"/>
          <w:sz w:val="20"/>
        </w:rPr>
        <w:t>specifies;</w:t>
      </w:r>
    </w:p>
    <w:p w:rsidR="001E7B33" w:rsidRDefault="006A03D6">
      <w:pPr>
        <w:pStyle w:val="ListParagraph"/>
        <w:numPr>
          <w:ilvl w:val="1"/>
          <w:numId w:val="4"/>
        </w:numPr>
        <w:tabs>
          <w:tab w:val="left" w:pos="2160"/>
          <w:tab w:val="left" w:pos="2161"/>
        </w:tabs>
        <w:spacing w:line="226" w:lineRule="exact"/>
        <w:rPr>
          <w:sz w:val="20"/>
        </w:rPr>
      </w:pPr>
      <w:r>
        <w:rPr>
          <w:color w:val="231F20"/>
          <w:sz w:val="20"/>
        </w:rPr>
        <w:t>confer with the Committee or the assessor if requested to do so by either of them;</w:t>
      </w:r>
      <w:r>
        <w:rPr>
          <w:color w:val="231F20"/>
          <w:spacing w:val="-14"/>
          <w:sz w:val="20"/>
        </w:rPr>
        <w:t xml:space="preserve"> </w:t>
      </w:r>
      <w:r>
        <w:rPr>
          <w:color w:val="231F20"/>
          <w:sz w:val="20"/>
        </w:rPr>
        <w:t>and</w:t>
      </w:r>
    </w:p>
    <w:p w:rsidR="001E7B33" w:rsidRDefault="006A03D6">
      <w:pPr>
        <w:pStyle w:val="ListParagraph"/>
        <w:numPr>
          <w:ilvl w:val="1"/>
          <w:numId w:val="4"/>
        </w:numPr>
        <w:tabs>
          <w:tab w:val="left" w:pos="2159"/>
          <w:tab w:val="left" w:pos="2160"/>
        </w:tabs>
        <w:spacing w:before="33" w:line="276" w:lineRule="auto"/>
        <w:ind w:left="2161" w:right="1573" w:hanging="361"/>
        <w:rPr>
          <w:sz w:val="20"/>
        </w:rPr>
      </w:pPr>
      <w:r>
        <w:rPr>
          <w:color w:val="231F20"/>
          <w:sz w:val="20"/>
        </w:rPr>
        <w:t>participate in a program designed to evaluate the knowledge, skill and judgment of the member,</w:t>
      </w:r>
      <w:r>
        <w:rPr>
          <w:color w:val="231F20"/>
          <w:spacing w:val="-30"/>
          <w:sz w:val="20"/>
        </w:rPr>
        <w:t xml:space="preserve"> </w:t>
      </w:r>
      <w:r>
        <w:rPr>
          <w:color w:val="231F20"/>
          <w:sz w:val="20"/>
        </w:rPr>
        <w:t>if requested to do so by the</w:t>
      </w:r>
      <w:r>
        <w:rPr>
          <w:color w:val="231F20"/>
          <w:spacing w:val="-7"/>
          <w:sz w:val="20"/>
        </w:rPr>
        <w:t xml:space="preserve"> </w:t>
      </w:r>
      <w:r>
        <w:rPr>
          <w:color w:val="231F20"/>
          <w:sz w:val="20"/>
        </w:rPr>
        <w:t>Committee.</w:t>
      </w:r>
    </w:p>
    <w:p w:rsidR="001E7B33" w:rsidRDefault="001E7B33">
      <w:pPr>
        <w:pStyle w:val="BodyText"/>
        <w:spacing w:before="9"/>
        <w:rPr>
          <w:sz w:val="22"/>
        </w:rPr>
      </w:pPr>
    </w:p>
    <w:p w:rsidR="001E7B33" w:rsidRDefault="006A03D6">
      <w:pPr>
        <w:pStyle w:val="BodyText"/>
        <w:ind w:left="1800"/>
      </w:pPr>
      <w:r>
        <w:rPr>
          <w:color w:val="231F20"/>
        </w:rPr>
        <w:t>Inspection of premises</w:t>
      </w:r>
    </w:p>
    <w:p w:rsidR="001E7B33" w:rsidRDefault="001E7B33">
      <w:pPr>
        <w:pStyle w:val="BodyText"/>
        <w:spacing w:before="9"/>
        <w:rPr>
          <w:sz w:val="25"/>
        </w:rPr>
      </w:pPr>
    </w:p>
    <w:p w:rsidR="001E7B33" w:rsidRDefault="006A03D6">
      <w:pPr>
        <w:pStyle w:val="ListParagraph"/>
        <w:numPr>
          <w:ilvl w:val="2"/>
          <w:numId w:val="4"/>
        </w:numPr>
        <w:tabs>
          <w:tab w:val="left" w:pos="2480"/>
        </w:tabs>
        <w:spacing w:line="276" w:lineRule="auto"/>
        <w:ind w:right="1690" w:firstLine="0"/>
        <w:rPr>
          <w:sz w:val="20"/>
        </w:rPr>
      </w:pPr>
      <w:r>
        <w:rPr>
          <w:color w:val="231F20"/>
          <w:sz w:val="20"/>
        </w:rPr>
        <w:t>Every person who controls premises where a member practises, other than a private</w:t>
      </w:r>
      <w:r>
        <w:rPr>
          <w:color w:val="231F20"/>
          <w:spacing w:val="-29"/>
          <w:sz w:val="20"/>
        </w:rPr>
        <w:t xml:space="preserve"> </w:t>
      </w:r>
      <w:r>
        <w:rPr>
          <w:color w:val="231F20"/>
          <w:sz w:val="20"/>
        </w:rPr>
        <w:t>dwelling, shall allow an assessor to enter and inspect the</w:t>
      </w:r>
      <w:r>
        <w:rPr>
          <w:color w:val="231F20"/>
          <w:spacing w:val="-1"/>
          <w:sz w:val="20"/>
        </w:rPr>
        <w:t xml:space="preserve"> </w:t>
      </w:r>
      <w:r>
        <w:rPr>
          <w:color w:val="231F20"/>
          <w:sz w:val="20"/>
        </w:rPr>
        <w:t>premises.</w:t>
      </w:r>
    </w:p>
    <w:p w:rsidR="001E7B33" w:rsidRDefault="001E7B33">
      <w:pPr>
        <w:pStyle w:val="BodyText"/>
        <w:spacing w:before="9"/>
        <w:rPr>
          <w:sz w:val="22"/>
        </w:rPr>
      </w:pPr>
    </w:p>
    <w:p w:rsidR="001E7B33" w:rsidRDefault="006A03D6">
      <w:pPr>
        <w:pStyle w:val="BodyText"/>
        <w:ind w:left="1801"/>
      </w:pPr>
      <w:r>
        <w:rPr>
          <w:color w:val="231F20"/>
        </w:rPr>
        <w:t>Inspection of records</w:t>
      </w:r>
    </w:p>
    <w:p w:rsidR="001E7B33" w:rsidRDefault="001E7B33">
      <w:pPr>
        <w:pStyle w:val="BodyText"/>
        <w:spacing w:before="9"/>
        <w:rPr>
          <w:sz w:val="25"/>
        </w:rPr>
      </w:pPr>
    </w:p>
    <w:p w:rsidR="001E7B33" w:rsidRDefault="006A03D6">
      <w:pPr>
        <w:pStyle w:val="ListParagraph"/>
        <w:numPr>
          <w:ilvl w:val="2"/>
          <w:numId w:val="4"/>
        </w:numPr>
        <w:tabs>
          <w:tab w:val="left" w:pos="2480"/>
        </w:tabs>
        <w:spacing w:line="276" w:lineRule="auto"/>
        <w:ind w:right="1443" w:firstLine="0"/>
        <w:rPr>
          <w:sz w:val="20"/>
        </w:rPr>
      </w:pPr>
      <w:r>
        <w:rPr>
          <w:color w:val="231F20"/>
          <w:sz w:val="20"/>
        </w:rPr>
        <w:t>Every</w:t>
      </w:r>
      <w:r>
        <w:rPr>
          <w:color w:val="231F20"/>
          <w:spacing w:val="-4"/>
          <w:sz w:val="20"/>
        </w:rPr>
        <w:t xml:space="preserve"> </w:t>
      </w:r>
      <w:r>
        <w:rPr>
          <w:color w:val="231F20"/>
          <w:sz w:val="20"/>
        </w:rPr>
        <w:t>person</w:t>
      </w:r>
      <w:r>
        <w:rPr>
          <w:color w:val="231F20"/>
          <w:spacing w:val="-4"/>
          <w:sz w:val="20"/>
        </w:rPr>
        <w:t xml:space="preserve"> </w:t>
      </w:r>
      <w:r>
        <w:rPr>
          <w:color w:val="231F20"/>
          <w:sz w:val="20"/>
        </w:rPr>
        <w:t>who</w:t>
      </w:r>
      <w:r>
        <w:rPr>
          <w:color w:val="231F20"/>
          <w:spacing w:val="-4"/>
          <w:sz w:val="20"/>
        </w:rPr>
        <w:t xml:space="preserve"> </w:t>
      </w:r>
      <w:r>
        <w:rPr>
          <w:color w:val="231F20"/>
          <w:sz w:val="20"/>
        </w:rPr>
        <w:t>controls</w:t>
      </w:r>
      <w:r>
        <w:rPr>
          <w:color w:val="231F20"/>
          <w:spacing w:val="-4"/>
          <w:sz w:val="20"/>
        </w:rPr>
        <w:t xml:space="preserve"> </w:t>
      </w:r>
      <w:r>
        <w:rPr>
          <w:color w:val="231F20"/>
          <w:sz w:val="20"/>
        </w:rPr>
        <w:t>records</w:t>
      </w:r>
      <w:r>
        <w:rPr>
          <w:color w:val="231F20"/>
          <w:spacing w:val="-4"/>
          <w:sz w:val="20"/>
        </w:rPr>
        <w:t xml:space="preserve"> </w:t>
      </w:r>
      <w:r>
        <w:rPr>
          <w:color w:val="231F20"/>
          <w:sz w:val="20"/>
        </w:rPr>
        <w:t>relating</w:t>
      </w:r>
      <w:r>
        <w:rPr>
          <w:color w:val="231F20"/>
          <w:spacing w:val="-4"/>
          <w:sz w:val="20"/>
        </w:rPr>
        <w:t xml:space="preserve"> </w:t>
      </w:r>
      <w:r>
        <w:rPr>
          <w:color w:val="231F20"/>
          <w:sz w:val="20"/>
        </w:rPr>
        <w:t>to</w:t>
      </w:r>
      <w:r>
        <w:rPr>
          <w:color w:val="231F20"/>
          <w:spacing w:val="-4"/>
          <w:sz w:val="20"/>
        </w:rPr>
        <w:t xml:space="preserve"> </w:t>
      </w:r>
      <w:r>
        <w:rPr>
          <w:color w:val="231F20"/>
          <w:sz w:val="20"/>
        </w:rPr>
        <w:t>a</w:t>
      </w:r>
      <w:r>
        <w:rPr>
          <w:color w:val="231F20"/>
          <w:spacing w:val="-4"/>
          <w:sz w:val="20"/>
        </w:rPr>
        <w:t xml:space="preserve"> </w:t>
      </w:r>
      <w:r>
        <w:rPr>
          <w:color w:val="231F20"/>
          <w:sz w:val="20"/>
        </w:rPr>
        <w:t>member’s</w:t>
      </w:r>
      <w:r>
        <w:rPr>
          <w:color w:val="231F20"/>
          <w:spacing w:val="-4"/>
          <w:sz w:val="20"/>
        </w:rPr>
        <w:t xml:space="preserve"> </w:t>
      </w:r>
      <w:r>
        <w:rPr>
          <w:color w:val="231F20"/>
          <w:sz w:val="20"/>
        </w:rPr>
        <w:t>care</w:t>
      </w:r>
      <w:r>
        <w:rPr>
          <w:color w:val="231F20"/>
          <w:spacing w:val="-4"/>
          <w:sz w:val="20"/>
        </w:rPr>
        <w:t xml:space="preserve"> </w:t>
      </w:r>
      <w:r>
        <w:rPr>
          <w:color w:val="231F20"/>
          <w:sz w:val="20"/>
        </w:rPr>
        <w:t>of</w:t>
      </w:r>
      <w:r>
        <w:rPr>
          <w:color w:val="231F20"/>
          <w:spacing w:val="-4"/>
          <w:sz w:val="20"/>
        </w:rPr>
        <w:t xml:space="preserve"> </w:t>
      </w:r>
      <w:r>
        <w:rPr>
          <w:color w:val="231F20"/>
          <w:sz w:val="20"/>
        </w:rPr>
        <w:t>patients</w:t>
      </w:r>
      <w:r>
        <w:rPr>
          <w:color w:val="231F20"/>
          <w:spacing w:val="-4"/>
          <w:sz w:val="20"/>
        </w:rPr>
        <w:t xml:space="preserve"> </w:t>
      </w:r>
      <w:r>
        <w:rPr>
          <w:color w:val="231F20"/>
          <w:sz w:val="20"/>
        </w:rPr>
        <w:t>shall</w:t>
      </w:r>
      <w:r>
        <w:rPr>
          <w:color w:val="231F20"/>
          <w:spacing w:val="-4"/>
          <w:sz w:val="20"/>
        </w:rPr>
        <w:t xml:space="preserve"> </w:t>
      </w:r>
      <w:r>
        <w:rPr>
          <w:color w:val="231F20"/>
          <w:sz w:val="20"/>
        </w:rPr>
        <w:t>allow</w:t>
      </w:r>
      <w:r>
        <w:rPr>
          <w:color w:val="231F20"/>
          <w:spacing w:val="-4"/>
          <w:sz w:val="20"/>
        </w:rPr>
        <w:t xml:space="preserve"> </w:t>
      </w:r>
      <w:r>
        <w:rPr>
          <w:color w:val="231F20"/>
          <w:sz w:val="20"/>
        </w:rPr>
        <w:t>an</w:t>
      </w:r>
      <w:r>
        <w:rPr>
          <w:color w:val="231F20"/>
          <w:spacing w:val="-4"/>
          <w:sz w:val="20"/>
        </w:rPr>
        <w:t xml:space="preserve"> </w:t>
      </w:r>
      <w:r>
        <w:rPr>
          <w:color w:val="231F20"/>
          <w:sz w:val="20"/>
        </w:rPr>
        <w:t>assessor to inspect the</w:t>
      </w:r>
      <w:r>
        <w:rPr>
          <w:color w:val="231F20"/>
          <w:spacing w:val="-4"/>
          <w:sz w:val="20"/>
        </w:rPr>
        <w:t xml:space="preserve"> </w:t>
      </w:r>
      <w:r>
        <w:rPr>
          <w:color w:val="231F20"/>
          <w:sz w:val="20"/>
        </w:rPr>
        <w:t>records….</w:t>
      </w:r>
    </w:p>
    <w:p w:rsidR="001E7B33" w:rsidRDefault="001E7B33">
      <w:pPr>
        <w:pStyle w:val="BodyText"/>
        <w:spacing w:before="9"/>
        <w:rPr>
          <w:sz w:val="22"/>
        </w:rPr>
      </w:pPr>
    </w:p>
    <w:p w:rsidR="001E7B33" w:rsidRDefault="006A03D6">
      <w:pPr>
        <w:pStyle w:val="BodyText"/>
        <w:ind w:left="1801"/>
      </w:pPr>
      <w:r>
        <w:rPr>
          <w:color w:val="231F20"/>
        </w:rPr>
        <w:t>Conflict</w:t>
      </w:r>
    </w:p>
    <w:p w:rsidR="001E7B33" w:rsidRDefault="006A03D6">
      <w:pPr>
        <w:pStyle w:val="BodyText"/>
        <w:spacing w:before="33" w:line="276" w:lineRule="auto"/>
        <w:ind w:left="2161" w:right="1546"/>
      </w:pPr>
      <w:r>
        <w:rPr>
          <w:color w:val="231F20"/>
        </w:rPr>
        <w:t>(5) This section applies despite any provision in any Act relating to the confidentiality of health records.  1991, c. 18, Sched. 2, s. 82.</w:t>
      </w:r>
    </w:p>
    <w:p w:rsidR="001E7B33" w:rsidRDefault="001E7B33">
      <w:pPr>
        <w:spacing w:line="276" w:lineRule="auto"/>
        <w:sectPr w:rsidR="001E7B33">
          <w:pgSz w:w="12240" w:h="15840"/>
          <w:pgMar w:top="1380" w:right="0" w:bottom="1000" w:left="0" w:header="0" w:footer="802" w:gutter="0"/>
          <w:cols w:space="720"/>
        </w:sectPr>
      </w:pPr>
    </w:p>
    <w:p w:rsidR="001E7B33" w:rsidRDefault="001E7B33">
      <w:pPr>
        <w:pStyle w:val="BodyText"/>
      </w:pPr>
    </w:p>
    <w:p w:rsidR="001E7B33" w:rsidRDefault="001E7B33">
      <w:pPr>
        <w:pStyle w:val="BodyText"/>
      </w:pPr>
    </w:p>
    <w:p w:rsidR="001E7B33" w:rsidRDefault="001E7B33">
      <w:pPr>
        <w:pStyle w:val="BodyText"/>
      </w:pPr>
    </w:p>
    <w:p w:rsidR="001E7B33" w:rsidRDefault="001E7B33">
      <w:pPr>
        <w:pStyle w:val="BodyText"/>
      </w:pPr>
    </w:p>
    <w:p w:rsidR="001E7B33" w:rsidRDefault="001E7B33">
      <w:pPr>
        <w:pStyle w:val="BodyText"/>
        <w:spacing w:before="5"/>
        <w:rPr>
          <w:sz w:val="25"/>
        </w:rPr>
      </w:pPr>
    </w:p>
    <w:p w:rsidR="001E7B33" w:rsidRDefault="00696ED4">
      <w:pPr>
        <w:pStyle w:val="Heading1"/>
        <w:spacing w:line="321" w:lineRule="auto"/>
        <w:ind w:right="6413"/>
      </w:pPr>
      <w:r>
        <w:pict>
          <v:group id="_x0000_s2050" style="position:absolute;left:0;text-align:left;margin-left:-.5pt;margin-top:-24.85pt;width:30.5pt;height:204.5pt;z-index:251658240;mso-position-horizontal-relative:page" coordorigin="-10,-497" coordsize="610,4090">
            <v:shape id="_x0000_s2052" style="position:absolute;left:-60;top:13263;width:60;height:3497" coordorigin="-60,13263" coordsize="60,3497" o:spt="100" adj="0,,0" path="m,-367r,m,3129r59,l60,-367e" filled="f" strokecolor="#0064a3" strokeweight="1pt">
              <v:stroke joinstyle="round"/>
              <v:formulas/>
              <v:path arrowok="t" o:connecttype="segments"/>
            </v:shape>
            <v:rect id="_x0000_s2051" style="position:absolute;top:-497;width:600;height:4089" stroked="f"/>
            <w10:wrap anchorx="page"/>
          </v:group>
        </w:pict>
      </w:r>
      <w:r w:rsidR="006A03D6">
        <w:rPr>
          <w:color w:val="231F20"/>
        </w:rPr>
        <w:t>Physiotherapy Act, 1991 ONTARIO REGULATION 532/98</w:t>
      </w:r>
    </w:p>
    <w:p w:rsidR="001E7B33" w:rsidRDefault="006A03D6">
      <w:pPr>
        <w:pStyle w:val="ListParagraph"/>
        <w:numPr>
          <w:ilvl w:val="0"/>
          <w:numId w:val="3"/>
        </w:numPr>
        <w:tabs>
          <w:tab w:val="left" w:pos="2159"/>
          <w:tab w:val="left" w:pos="2160"/>
        </w:tabs>
        <w:spacing w:before="254"/>
        <w:rPr>
          <w:sz w:val="20"/>
        </w:rPr>
      </w:pPr>
      <w:r>
        <w:rPr>
          <w:color w:val="231F20"/>
          <w:sz w:val="20"/>
        </w:rPr>
        <w:t>(3)  The assessment may</w:t>
      </w:r>
      <w:r>
        <w:rPr>
          <w:color w:val="231F20"/>
          <w:spacing w:val="-8"/>
          <w:sz w:val="20"/>
        </w:rPr>
        <w:t xml:space="preserve"> </w:t>
      </w:r>
      <w:r>
        <w:rPr>
          <w:color w:val="231F20"/>
          <w:sz w:val="20"/>
        </w:rPr>
        <w:t>include,</w:t>
      </w:r>
    </w:p>
    <w:p w:rsidR="001E7B33" w:rsidRDefault="006A03D6">
      <w:pPr>
        <w:pStyle w:val="ListParagraph"/>
        <w:numPr>
          <w:ilvl w:val="1"/>
          <w:numId w:val="3"/>
        </w:numPr>
        <w:tabs>
          <w:tab w:val="left" w:pos="2519"/>
          <w:tab w:val="left" w:pos="2520"/>
        </w:tabs>
        <w:spacing w:before="33"/>
        <w:rPr>
          <w:sz w:val="20"/>
        </w:rPr>
      </w:pPr>
      <w:r>
        <w:rPr>
          <w:color w:val="231F20"/>
          <w:sz w:val="20"/>
        </w:rPr>
        <w:t>inspecting</w:t>
      </w:r>
      <w:r>
        <w:rPr>
          <w:color w:val="231F20"/>
          <w:spacing w:val="-5"/>
          <w:sz w:val="20"/>
        </w:rPr>
        <w:t xml:space="preserve"> </w:t>
      </w:r>
      <w:r>
        <w:rPr>
          <w:color w:val="231F20"/>
          <w:sz w:val="20"/>
        </w:rPr>
        <w:t>and</w:t>
      </w:r>
      <w:r>
        <w:rPr>
          <w:color w:val="231F20"/>
          <w:spacing w:val="-5"/>
          <w:sz w:val="20"/>
        </w:rPr>
        <w:t xml:space="preserve"> </w:t>
      </w:r>
      <w:r>
        <w:rPr>
          <w:color w:val="231F20"/>
          <w:sz w:val="20"/>
        </w:rPr>
        <w:t>reviewing</w:t>
      </w:r>
      <w:r>
        <w:rPr>
          <w:color w:val="231F20"/>
          <w:spacing w:val="-5"/>
          <w:sz w:val="20"/>
        </w:rPr>
        <w:t xml:space="preserve"> </w:t>
      </w:r>
      <w:r>
        <w:rPr>
          <w:color w:val="231F20"/>
          <w:sz w:val="20"/>
        </w:rPr>
        <w:t>the</w:t>
      </w:r>
      <w:r>
        <w:rPr>
          <w:color w:val="231F20"/>
          <w:spacing w:val="-5"/>
          <w:sz w:val="20"/>
        </w:rPr>
        <w:t xml:space="preserve"> </w:t>
      </w:r>
      <w:r>
        <w:rPr>
          <w:color w:val="231F20"/>
          <w:sz w:val="20"/>
        </w:rPr>
        <w:t>member’s</w:t>
      </w:r>
      <w:r>
        <w:rPr>
          <w:color w:val="231F20"/>
          <w:spacing w:val="-5"/>
          <w:sz w:val="20"/>
        </w:rPr>
        <w:t xml:space="preserve"> </w:t>
      </w:r>
      <w:r>
        <w:rPr>
          <w:color w:val="231F20"/>
          <w:sz w:val="20"/>
        </w:rPr>
        <w:t>premises,</w:t>
      </w:r>
      <w:r>
        <w:rPr>
          <w:color w:val="231F20"/>
          <w:spacing w:val="-5"/>
          <w:sz w:val="20"/>
        </w:rPr>
        <w:t xml:space="preserve"> </w:t>
      </w:r>
      <w:r>
        <w:rPr>
          <w:color w:val="231F20"/>
          <w:sz w:val="20"/>
        </w:rPr>
        <w:t>records</w:t>
      </w:r>
      <w:r>
        <w:rPr>
          <w:color w:val="231F20"/>
          <w:spacing w:val="-5"/>
          <w:sz w:val="20"/>
        </w:rPr>
        <w:t xml:space="preserve"> </w:t>
      </w:r>
      <w:r>
        <w:rPr>
          <w:color w:val="231F20"/>
          <w:sz w:val="20"/>
        </w:rPr>
        <w:t>and</w:t>
      </w:r>
      <w:r>
        <w:rPr>
          <w:color w:val="231F20"/>
          <w:spacing w:val="-5"/>
          <w:sz w:val="20"/>
        </w:rPr>
        <w:t xml:space="preserve"> </w:t>
      </w:r>
      <w:r>
        <w:rPr>
          <w:color w:val="231F20"/>
          <w:sz w:val="20"/>
        </w:rPr>
        <w:t>portfolio;</w:t>
      </w:r>
    </w:p>
    <w:p w:rsidR="001E7B33" w:rsidRDefault="006A03D6">
      <w:pPr>
        <w:pStyle w:val="ListParagraph"/>
        <w:numPr>
          <w:ilvl w:val="1"/>
          <w:numId w:val="3"/>
        </w:numPr>
        <w:tabs>
          <w:tab w:val="left" w:pos="2520"/>
          <w:tab w:val="left" w:pos="2521"/>
        </w:tabs>
        <w:spacing w:before="33"/>
        <w:rPr>
          <w:sz w:val="20"/>
        </w:rPr>
      </w:pPr>
      <w:r>
        <w:rPr>
          <w:color w:val="231F20"/>
          <w:sz w:val="20"/>
        </w:rPr>
        <w:t>interviewing the member and his or her</w:t>
      </w:r>
      <w:r>
        <w:rPr>
          <w:color w:val="231F20"/>
          <w:spacing w:val="-11"/>
          <w:sz w:val="20"/>
        </w:rPr>
        <w:t xml:space="preserve"> </w:t>
      </w:r>
      <w:r>
        <w:rPr>
          <w:color w:val="231F20"/>
          <w:sz w:val="20"/>
        </w:rPr>
        <w:t>staff;</w:t>
      </w:r>
    </w:p>
    <w:p w:rsidR="001E7B33" w:rsidRDefault="006A03D6">
      <w:pPr>
        <w:pStyle w:val="ListParagraph"/>
        <w:numPr>
          <w:ilvl w:val="1"/>
          <w:numId w:val="3"/>
        </w:numPr>
        <w:tabs>
          <w:tab w:val="left" w:pos="2519"/>
          <w:tab w:val="left" w:pos="2520"/>
        </w:tabs>
        <w:spacing w:before="33" w:line="276" w:lineRule="auto"/>
        <w:ind w:right="1448"/>
        <w:rPr>
          <w:sz w:val="20"/>
        </w:rPr>
      </w:pPr>
      <w:r>
        <w:rPr>
          <w:color w:val="231F20"/>
          <w:sz w:val="20"/>
        </w:rPr>
        <w:t>requiring</w:t>
      </w:r>
      <w:r>
        <w:rPr>
          <w:color w:val="231F20"/>
          <w:spacing w:val="-3"/>
          <w:sz w:val="20"/>
        </w:rPr>
        <w:t xml:space="preserve"> </w:t>
      </w:r>
      <w:r>
        <w:rPr>
          <w:color w:val="231F20"/>
          <w:sz w:val="20"/>
        </w:rPr>
        <w:t>the</w:t>
      </w:r>
      <w:r>
        <w:rPr>
          <w:color w:val="231F20"/>
          <w:spacing w:val="-3"/>
          <w:sz w:val="20"/>
        </w:rPr>
        <w:t xml:space="preserve"> </w:t>
      </w:r>
      <w:r>
        <w:rPr>
          <w:color w:val="231F20"/>
          <w:sz w:val="20"/>
        </w:rPr>
        <w:t>member</w:t>
      </w:r>
      <w:r>
        <w:rPr>
          <w:color w:val="231F20"/>
          <w:spacing w:val="-3"/>
          <w:sz w:val="20"/>
        </w:rPr>
        <w:t xml:space="preserve"> </w:t>
      </w:r>
      <w:r>
        <w:rPr>
          <w:color w:val="231F20"/>
          <w:sz w:val="20"/>
        </w:rPr>
        <w:t>to</w:t>
      </w:r>
      <w:r>
        <w:rPr>
          <w:color w:val="231F20"/>
          <w:spacing w:val="-3"/>
          <w:sz w:val="20"/>
        </w:rPr>
        <w:t xml:space="preserve"> </w:t>
      </w:r>
      <w:r>
        <w:rPr>
          <w:color w:val="231F20"/>
          <w:sz w:val="20"/>
        </w:rPr>
        <w:t>answer,</w:t>
      </w:r>
      <w:r>
        <w:rPr>
          <w:color w:val="231F20"/>
          <w:spacing w:val="-3"/>
          <w:sz w:val="20"/>
        </w:rPr>
        <w:t xml:space="preserve"> </w:t>
      </w:r>
      <w:r>
        <w:rPr>
          <w:color w:val="231F20"/>
          <w:sz w:val="20"/>
        </w:rPr>
        <w:t>orally</w:t>
      </w:r>
      <w:r>
        <w:rPr>
          <w:color w:val="231F20"/>
          <w:spacing w:val="-3"/>
          <w:sz w:val="20"/>
        </w:rPr>
        <w:t xml:space="preserve"> </w:t>
      </w:r>
      <w:r>
        <w:rPr>
          <w:color w:val="231F20"/>
          <w:sz w:val="20"/>
        </w:rPr>
        <w:t>or</w:t>
      </w:r>
      <w:r>
        <w:rPr>
          <w:color w:val="231F20"/>
          <w:spacing w:val="-3"/>
          <w:sz w:val="20"/>
        </w:rPr>
        <w:t xml:space="preserve"> </w:t>
      </w:r>
      <w:r>
        <w:rPr>
          <w:color w:val="231F20"/>
          <w:sz w:val="20"/>
        </w:rPr>
        <w:t>in</w:t>
      </w:r>
      <w:r>
        <w:rPr>
          <w:color w:val="231F20"/>
          <w:spacing w:val="-3"/>
          <w:sz w:val="20"/>
        </w:rPr>
        <w:t xml:space="preserve"> </w:t>
      </w:r>
      <w:r>
        <w:rPr>
          <w:color w:val="231F20"/>
          <w:sz w:val="20"/>
        </w:rPr>
        <w:t>writing,</w:t>
      </w:r>
      <w:r>
        <w:rPr>
          <w:color w:val="231F20"/>
          <w:spacing w:val="-3"/>
          <w:sz w:val="20"/>
        </w:rPr>
        <w:t xml:space="preserve"> </w:t>
      </w:r>
      <w:r>
        <w:rPr>
          <w:color w:val="231F20"/>
          <w:sz w:val="20"/>
        </w:rPr>
        <w:t>questions</w:t>
      </w:r>
      <w:r>
        <w:rPr>
          <w:color w:val="231F20"/>
          <w:spacing w:val="-3"/>
          <w:sz w:val="20"/>
        </w:rPr>
        <w:t xml:space="preserve"> </w:t>
      </w:r>
      <w:r>
        <w:rPr>
          <w:color w:val="231F20"/>
          <w:sz w:val="20"/>
        </w:rPr>
        <w:t>that relate</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member’s</w:t>
      </w:r>
      <w:r>
        <w:rPr>
          <w:color w:val="231F20"/>
          <w:spacing w:val="-3"/>
          <w:sz w:val="20"/>
        </w:rPr>
        <w:t xml:space="preserve"> </w:t>
      </w:r>
      <w:r>
        <w:rPr>
          <w:color w:val="231F20"/>
          <w:sz w:val="20"/>
        </w:rPr>
        <w:t>type of practice;</w:t>
      </w:r>
      <w:r>
        <w:rPr>
          <w:color w:val="231F20"/>
          <w:spacing w:val="-2"/>
          <w:sz w:val="20"/>
        </w:rPr>
        <w:t xml:space="preserve"> </w:t>
      </w:r>
      <w:r>
        <w:rPr>
          <w:color w:val="231F20"/>
          <w:sz w:val="20"/>
        </w:rPr>
        <w:t>and</w:t>
      </w:r>
    </w:p>
    <w:p w:rsidR="001E7B33" w:rsidRDefault="006A03D6">
      <w:pPr>
        <w:pStyle w:val="ListParagraph"/>
        <w:numPr>
          <w:ilvl w:val="1"/>
          <w:numId w:val="3"/>
        </w:numPr>
        <w:tabs>
          <w:tab w:val="left" w:pos="2520"/>
          <w:tab w:val="left" w:pos="2521"/>
        </w:tabs>
        <w:spacing w:line="276" w:lineRule="auto"/>
        <w:ind w:right="1882"/>
        <w:rPr>
          <w:sz w:val="20"/>
        </w:rPr>
      </w:pPr>
      <w:r>
        <w:rPr>
          <w:color w:val="231F20"/>
          <w:sz w:val="20"/>
        </w:rPr>
        <w:t>requiring</w:t>
      </w:r>
      <w:r>
        <w:rPr>
          <w:color w:val="231F20"/>
          <w:spacing w:val="-3"/>
          <w:sz w:val="20"/>
        </w:rPr>
        <w:t xml:space="preserve"> </w:t>
      </w:r>
      <w:r>
        <w:rPr>
          <w:color w:val="231F20"/>
          <w:sz w:val="20"/>
        </w:rPr>
        <w:t>the</w:t>
      </w:r>
      <w:r>
        <w:rPr>
          <w:color w:val="231F20"/>
          <w:spacing w:val="-3"/>
          <w:sz w:val="20"/>
        </w:rPr>
        <w:t xml:space="preserve"> </w:t>
      </w:r>
      <w:r>
        <w:rPr>
          <w:color w:val="231F20"/>
          <w:sz w:val="20"/>
        </w:rPr>
        <w:t>member</w:t>
      </w:r>
      <w:r>
        <w:rPr>
          <w:color w:val="231F20"/>
          <w:spacing w:val="-3"/>
          <w:sz w:val="20"/>
        </w:rPr>
        <w:t xml:space="preserve"> </w:t>
      </w:r>
      <w:r>
        <w:rPr>
          <w:color w:val="231F20"/>
          <w:sz w:val="20"/>
        </w:rPr>
        <w:t>to</w:t>
      </w:r>
      <w:r>
        <w:rPr>
          <w:color w:val="231F20"/>
          <w:spacing w:val="-3"/>
          <w:sz w:val="20"/>
        </w:rPr>
        <w:t xml:space="preserve"> </w:t>
      </w:r>
      <w:r>
        <w:rPr>
          <w:color w:val="231F20"/>
          <w:sz w:val="20"/>
        </w:rPr>
        <w:t>examine</w:t>
      </w:r>
      <w:r>
        <w:rPr>
          <w:color w:val="231F20"/>
          <w:spacing w:val="-3"/>
          <w:sz w:val="20"/>
        </w:rPr>
        <w:t xml:space="preserve"> </w:t>
      </w:r>
      <w:r>
        <w:rPr>
          <w:color w:val="231F20"/>
          <w:sz w:val="20"/>
        </w:rPr>
        <w:t>simulations</w:t>
      </w:r>
      <w:r>
        <w:rPr>
          <w:color w:val="231F20"/>
          <w:spacing w:val="-3"/>
          <w:sz w:val="20"/>
        </w:rPr>
        <w:t xml:space="preserve"> </w:t>
      </w:r>
      <w:r>
        <w:rPr>
          <w:color w:val="231F20"/>
          <w:sz w:val="20"/>
        </w:rPr>
        <w:t>that relate</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member’s</w:t>
      </w:r>
      <w:r>
        <w:rPr>
          <w:color w:val="231F20"/>
          <w:spacing w:val="-3"/>
          <w:sz w:val="20"/>
        </w:rPr>
        <w:t xml:space="preserve"> </w:t>
      </w:r>
      <w:r>
        <w:rPr>
          <w:color w:val="231F20"/>
          <w:sz w:val="20"/>
        </w:rPr>
        <w:t>type</w:t>
      </w:r>
      <w:r>
        <w:rPr>
          <w:color w:val="231F20"/>
          <w:spacing w:val="-3"/>
          <w:sz w:val="20"/>
        </w:rPr>
        <w:t xml:space="preserve"> </w:t>
      </w:r>
      <w:r>
        <w:rPr>
          <w:color w:val="231F20"/>
          <w:sz w:val="20"/>
        </w:rPr>
        <w:t>of</w:t>
      </w:r>
      <w:r>
        <w:rPr>
          <w:color w:val="231F20"/>
          <w:spacing w:val="-3"/>
          <w:sz w:val="20"/>
        </w:rPr>
        <w:t xml:space="preserve"> </w:t>
      </w:r>
      <w:r>
        <w:rPr>
          <w:color w:val="231F20"/>
          <w:sz w:val="20"/>
        </w:rPr>
        <w:t xml:space="preserve">practice. </w:t>
      </w:r>
      <w:r>
        <w:rPr>
          <w:color w:val="231F20"/>
          <w:spacing w:val="-5"/>
          <w:sz w:val="20"/>
        </w:rPr>
        <w:t xml:space="preserve">O. </w:t>
      </w:r>
      <w:r>
        <w:rPr>
          <w:color w:val="231F20"/>
          <w:sz w:val="20"/>
        </w:rPr>
        <w:t>Reg. 532/98, s. 5</w:t>
      </w:r>
      <w:r>
        <w:rPr>
          <w:color w:val="231F20"/>
          <w:spacing w:val="4"/>
          <w:sz w:val="20"/>
        </w:rPr>
        <w:t xml:space="preserve"> </w:t>
      </w:r>
      <w:r>
        <w:rPr>
          <w:color w:val="231F20"/>
          <w:sz w:val="20"/>
        </w:rPr>
        <w:t>(3).</w:t>
      </w:r>
    </w:p>
    <w:p w:rsidR="001E7B33" w:rsidRDefault="001E7B33">
      <w:pPr>
        <w:pStyle w:val="BodyText"/>
        <w:spacing w:before="10"/>
        <w:rPr>
          <w:sz w:val="22"/>
        </w:rPr>
      </w:pPr>
    </w:p>
    <w:p w:rsidR="001E7B33" w:rsidRDefault="006A03D6">
      <w:pPr>
        <w:pStyle w:val="ListParagraph"/>
        <w:numPr>
          <w:ilvl w:val="0"/>
          <w:numId w:val="2"/>
        </w:numPr>
        <w:tabs>
          <w:tab w:val="left" w:pos="2474"/>
        </w:tabs>
        <w:spacing w:line="276" w:lineRule="auto"/>
        <w:ind w:right="1601" w:firstLine="0"/>
        <w:jc w:val="both"/>
        <w:rPr>
          <w:sz w:val="20"/>
        </w:rPr>
      </w:pPr>
      <w:r>
        <w:rPr>
          <w:color w:val="231F20"/>
          <w:sz w:val="20"/>
        </w:rPr>
        <w:t xml:space="preserve">The Committee shall appoint an assessor to carry out the practice assessment but the assessor may obtain any assistance he or she considers appropriate in carrying out the assessment. </w:t>
      </w:r>
      <w:r>
        <w:rPr>
          <w:color w:val="231F20"/>
          <w:spacing w:val="-5"/>
          <w:sz w:val="20"/>
        </w:rPr>
        <w:t xml:space="preserve">O. </w:t>
      </w:r>
      <w:r>
        <w:rPr>
          <w:color w:val="231F20"/>
          <w:sz w:val="20"/>
        </w:rPr>
        <w:t>Reg. 532/98, s. 5 (4).</w:t>
      </w:r>
    </w:p>
    <w:p w:rsidR="001E7B33" w:rsidRDefault="001E7B33">
      <w:pPr>
        <w:pStyle w:val="BodyText"/>
        <w:spacing w:before="8"/>
        <w:rPr>
          <w:sz w:val="22"/>
        </w:rPr>
      </w:pPr>
    </w:p>
    <w:p w:rsidR="001E7B33" w:rsidRDefault="006A03D6">
      <w:pPr>
        <w:pStyle w:val="ListParagraph"/>
        <w:numPr>
          <w:ilvl w:val="0"/>
          <w:numId w:val="2"/>
        </w:numPr>
        <w:tabs>
          <w:tab w:val="left" w:pos="2474"/>
        </w:tabs>
        <w:spacing w:line="276" w:lineRule="auto"/>
        <w:ind w:left="2161" w:right="1694" w:hanging="1"/>
        <w:jc w:val="both"/>
        <w:rPr>
          <w:sz w:val="20"/>
        </w:rPr>
      </w:pPr>
      <w:r>
        <w:rPr>
          <w:color w:val="231F20"/>
          <w:sz w:val="20"/>
        </w:rPr>
        <w:t xml:space="preserve">The assessor shall prepare a report on the assessment and submit it to the Committee, with a copy to the member. </w:t>
      </w:r>
      <w:r>
        <w:rPr>
          <w:color w:val="231F20"/>
          <w:spacing w:val="-5"/>
          <w:sz w:val="20"/>
        </w:rPr>
        <w:t xml:space="preserve">O. </w:t>
      </w:r>
      <w:r>
        <w:rPr>
          <w:color w:val="231F20"/>
          <w:sz w:val="20"/>
        </w:rPr>
        <w:t>Reg. 532/98, s. 5</w:t>
      </w:r>
      <w:r>
        <w:rPr>
          <w:color w:val="231F20"/>
          <w:spacing w:val="-13"/>
          <w:sz w:val="20"/>
        </w:rPr>
        <w:t xml:space="preserve"> </w:t>
      </w:r>
      <w:r>
        <w:rPr>
          <w:color w:val="231F20"/>
          <w:sz w:val="20"/>
        </w:rPr>
        <w:t>(5).</w:t>
      </w:r>
    </w:p>
    <w:p w:rsidR="001E7B33" w:rsidRDefault="001E7B33">
      <w:pPr>
        <w:pStyle w:val="BodyText"/>
        <w:spacing w:before="3"/>
        <w:rPr>
          <w:sz w:val="23"/>
        </w:rPr>
      </w:pPr>
    </w:p>
    <w:p w:rsidR="001E7B33" w:rsidRDefault="006A03D6">
      <w:pPr>
        <w:pStyle w:val="Heading1"/>
        <w:spacing w:before="0"/>
      </w:pPr>
      <w:r>
        <w:rPr>
          <w:color w:val="231F20"/>
        </w:rPr>
        <w:t>Personal Health Information Protection Act, 2004</w:t>
      </w:r>
    </w:p>
    <w:p w:rsidR="001E7B33" w:rsidRDefault="001E7B33">
      <w:pPr>
        <w:pStyle w:val="BodyText"/>
        <w:spacing w:before="10"/>
        <w:rPr>
          <w:rFonts w:ascii="TheSans B3 Light"/>
          <w:sz w:val="31"/>
        </w:rPr>
      </w:pPr>
    </w:p>
    <w:p w:rsidR="001E7B33" w:rsidRDefault="006A03D6">
      <w:pPr>
        <w:pStyle w:val="Heading2"/>
      </w:pPr>
      <w:r>
        <w:rPr>
          <w:color w:val="231F20"/>
          <w:w w:val="95"/>
        </w:rPr>
        <w:t>Other rights and Acts</w:t>
      </w:r>
    </w:p>
    <w:p w:rsidR="001E7B33" w:rsidRDefault="001E7B33">
      <w:pPr>
        <w:pStyle w:val="BodyText"/>
        <w:spacing w:before="9"/>
        <w:rPr>
          <w:rFonts w:ascii="TheSans B6 SemiBold"/>
          <w:b/>
          <w:sz w:val="25"/>
        </w:rPr>
      </w:pPr>
    </w:p>
    <w:p w:rsidR="001E7B33" w:rsidRDefault="006A03D6">
      <w:pPr>
        <w:pStyle w:val="BodyText"/>
        <w:tabs>
          <w:tab w:val="left" w:pos="2159"/>
        </w:tabs>
        <w:ind w:left="1800"/>
      </w:pPr>
      <w:r>
        <w:rPr>
          <w:color w:val="231F20"/>
        </w:rPr>
        <w:t>9.</w:t>
      </w:r>
      <w:r>
        <w:rPr>
          <w:color w:val="231F20"/>
        </w:rPr>
        <w:tab/>
        <w:t>(2)  Nothing in this Act shall be construed to interfere</w:t>
      </w:r>
      <w:r>
        <w:rPr>
          <w:color w:val="231F20"/>
          <w:spacing w:val="-5"/>
        </w:rPr>
        <w:t xml:space="preserve"> </w:t>
      </w:r>
      <w:r>
        <w:rPr>
          <w:color w:val="231F20"/>
        </w:rPr>
        <w:t>with,...</w:t>
      </w:r>
    </w:p>
    <w:p w:rsidR="001E7B33" w:rsidRDefault="006A03D6">
      <w:pPr>
        <w:pStyle w:val="ListParagraph"/>
        <w:numPr>
          <w:ilvl w:val="1"/>
          <w:numId w:val="3"/>
        </w:numPr>
        <w:tabs>
          <w:tab w:val="left" w:pos="2519"/>
          <w:tab w:val="left" w:pos="2520"/>
        </w:tabs>
        <w:spacing w:before="33" w:line="276" w:lineRule="auto"/>
        <w:ind w:right="1963"/>
        <w:rPr>
          <w:sz w:val="20"/>
        </w:rPr>
      </w:pPr>
      <w:r>
        <w:rPr>
          <w:color w:val="231F20"/>
          <w:sz w:val="20"/>
        </w:rPr>
        <w:t>the regulatory activities of a College under the Regulated Heath Professions Act, 1991,</w:t>
      </w:r>
      <w:r>
        <w:rPr>
          <w:color w:val="231F20"/>
          <w:spacing w:val="-25"/>
          <w:sz w:val="20"/>
        </w:rPr>
        <w:t xml:space="preserve"> </w:t>
      </w:r>
      <w:r>
        <w:rPr>
          <w:color w:val="231F20"/>
          <w:sz w:val="20"/>
        </w:rPr>
        <w:t xml:space="preserve">the College under the Social </w:t>
      </w:r>
      <w:r>
        <w:rPr>
          <w:color w:val="231F20"/>
          <w:spacing w:val="-3"/>
          <w:sz w:val="20"/>
        </w:rPr>
        <w:t xml:space="preserve">Work </w:t>
      </w:r>
      <w:r>
        <w:rPr>
          <w:color w:val="231F20"/>
          <w:sz w:val="20"/>
        </w:rPr>
        <w:t xml:space="preserve">and Social Service </w:t>
      </w:r>
      <w:r>
        <w:rPr>
          <w:color w:val="231F20"/>
          <w:spacing w:val="-3"/>
          <w:sz w:val="20"/>
        </w:rPr>
        <w:t xml:space="preserve">Work </w:t>
      </w:r>
      <w:r>
        <w:rPr>
          <w:color w:val="231F20"/>
          <w:sz w:val="20"/>
        </w:rPr>
        <w:t>Act, 1998 or the Board under the Drugless Practitioners Act;</w:t>
      </w:r>
    </w:p>
    <w:p w:rsidR="001E7B33" w:rsidRDefault="001E7B33">
      <w:pPr>
        <w:pStyle w:val="BodyText"/>
        <w:spacing w:before="9"/>
        <w:rPr>
          <w:sz w:val="22"/>
        </w:rPr>
      </w:pPr>
    </w:p>
    <w:p w:rsidR="001E7B33" w:rsidRDefault="006A03D6">
      <w:pPr>
        <w:pStyle w:val="Heading2"/>
      </w:pPr>
      <w:r>
        <w:rPr>
          <w:color w:val="231F20"/>
          <w:w w:val="95"/>
        </w:rPr>
        <w:t>Disclosures related to this or other Acts</w:t>
      </w:r>
    </w:p>
    <w:p w:rsidR="001E7B33" w:rsidRDefault="001E7B33">
      <w:pPr>
        <w:pStyle w:val="BodyText"/>
        <w:spacing w:before="11"/>
        <w:rPr>
          <w:rFonts w:ascii="TheSans B6 SemiBold"/>
          <w:b/>
          <w:sz w:val="16"/>
        </w:rPr>
      </w:pPr>
    </w:p>
    <w:p w:rsidR="001E7B33" w:rsidRDefault="006A03D6">
      <w:pPr>
        <w:pStyle w:val="BodyText"/>
        <w:spacing w:before="100" w:line="276" w:lineRule="auto"/>
        <w:ind w:left="2159" w:right="1981" w:hanging="360"/>
      </w:pPr>
      <w:r>
        <w:rPr>
          <w:color w:val="231F20"/>
        </w:rPr>
        <w:t>43. (1) A health information custodian may disclose personal health information about an individual,...</w:t>
      </w:r>
    </w:p>
    <w:p w:rsidR="001E7B33" w:rsidRDefault="006A03D6">
      <w:pPr>
        <w:pStyle w:val="BodyText"/>
        <w:tabs>
          <w:tab w:val="left" w:pos="2520"/>
        </w:tabs>
        <w:spacing w:line="276" w:lineRule="auto"/>
        <w:ind w:left="2520" w:right="1434" w:hanging="361"/>
      </w:pPr>
      <w:r>
        <w:rPr>
          <w:color w:val="231F20"/>
          <w:spacing w:val="-4"/>
        </w:rPr>
        <w:t>b.</w:t>
      </w:r>
      <w:r>
        <w:rPr>
          <w:color w:val="231F20"/>
          <w:spacing w:val="-4"/>
        </w:rPr>
        <w:tab/>
      </w:r>
      <w:r>
        <w:rPr>
          <w:color w:val="231F20"/>
        </w:rPr>
        <w:t>to a College within the meaning of the Regulated Health Professions Act, 1991 for</w:t>
      </w:r>
      <w:r>
        <w:rPr>
          <w:color w:val="231F20"/>
          <w:spacing w:val="-21"/>
        </w:rPr>
        <w:t xml:space="preserve"> </w:t>
      </w:r>
      <w:r>
        <w:rPr>
          <w:color w:val="231F20"/>
        </w:rPr>
        <w:t>the</w:t>
      </w:r>
      <w:r>
        <w:rPr>
          <w:color w:val="231F20"/>
          <w:spacing w:val="-2"/>
        </w:rPr>
        <w:t xml:space="preserve"> </w:t>
      </w:r>
      <w:r>
        <w:rPr>
          <w:color w:val="231F20"/>
        </w:rPr>
        <w:t>purpose of the administration or enforcement of the Drug and Pharmacies Regulation Act, the</w:t>
      </w:r>
      <w:r>
        <w:rPr>
          <w:color w:val="231F20"/>
          <w:spacing w:val="-28"/>
        </w:rPr>
        <w:t xml:space="preserve"> </w:t>
      </w:r>
      <w:r>
        <w:rPr>
          <w:color w:val="231F20"/>
        </w:rPr>
        <w:t>Regulated Health Professions Act, 1991 or an Act named in Schedule 1 to that</w:t>
      </w:r>
      <w:r>
        <w:rPr>
          <w:color w:val="231F20"/>
          <w:spacing w:val="2"/>
        </w:rPr>
        <w:t xml:space="preserve"> </w:t>
      </w:r>
      <w:r>
        <w:rPr>
          <w:color w:val="231F20"/>
        </w:rPr>
        <w:t>Act;</w:t>
      </w:r>
    </w:p>
    <w:p w:rsidR="001E7B33" w:rsidRDefault="001E7B33">
      <w:pPr>
        <w:spacing w:line="276" w:lineRule="auto"/>
        <w:sectPr w:rsidR="001E7B33">
          <w:pgSz w:w="12240" w:h="15840"/>
          <w:pgMar w:top="1380" w:right="0" w:bottom="1000" w:left="0" w:header="0" w:footer="802" w:gutter="0"/>
          <w:cols w:space="720"/>
        </w:sectPr>
      </w:pPr>
    </w:p>
    <w:p w:rsidR="001E7B33" w:rsidRDefault="001E7B33">
      <w:pPr>
        <w:pStyle w:val="BodyText"/>
      </w:pPr>
    </w:p>
    <w:p w:rsidR="001E7B33" w:rsidRDefault="001E7B33">
      <w:pPr>
        <w:pStyle w:val="BodyText"/>
      </w:pPr>
    </w:p>
    <w:p w:rsidR="001E7B33" w:rsidRDefault="001E7B33">
      <w:pPr>
        <w:pStyle w:val="BodyText"/>
      </w:pPr>
    </w:p>
    <w:p w:rsidR="001E7B33" w:rsidRDefault="001E7B33">
      <w:pPr>
        <w:pStyle w:val="BodyText"/>
      </w:pPr>
    </w:p>
    <w:p w:rsidR="001E7B33" w:rsidRDefault="001E7B33">
      <w:pPr>
        <w:pStyle w:val="BodyText"/>
        <w:spacing w:before="5"/>
        <w:rPr>
          <w:sz w:val="25"/>
        </w:rPr>
      </w:pPr>
    </w:p>
    <w:p w:rsidR="001E7B33" w:rsidRDefault="006A03D6">
      <w:pPr>
        <w:pStyle w:val="Heading1"/>
        <w:ind w:left="2160"/>
      </w:pPr>
      <w:r>
        <w:rPr>
          <w:color w:val="231F20"/>
        </w:rPr>
        <w:t>Regulated Health Professions Act, 1991</w:t>
      </w:r>
    </w:p>
    <w:p w:rsidR="001E7B33" w:rsidRDefault="001E7B33">
      <w:pPr>
        <w:pStyle w:val="BodyText"/>
        <w:spacing w:before="1"/>
        <w:rPr>
          <w:rFonts w:ascii="TheSans B3 Light"/>
          <w:sz w:val="30"/>
        </w:rPr>
      </w:pPr>
    </w:p>
    <w:p w:rsidR="001E7B33" w:rsidRDefault="006A03D6">
      <w:pPr>
        <w:pStyle w:val="ListParagraph"/>
        <w:numPr>
          <w:ilvl w:val="0"/>
          <w:numId w:val="1"/>
        </w:numPr>
        <w:tabs>
          <w:tab w:val="left" w:pos="2160"/>
        </w:tabs>
        <w:spacing w:line="276" w:lineRule="auto"/>
        <w:ind w:right="1453"/>
        <w:rPr>
          <w:sz w:val="20"/>
        </w:rPr>
      </w:pPr>
      <w:r>
        <w:rPr>
          <w:color w:val="231F20"/>
          <w:sz w:val="20"/>
        </w:rPr>
        <w:t>(1)  Every person employed, retained or appointed for the purpose of the administration of this Act, a health professional Act or the Drug and Pharmacies Regulation Act and every member of a</w:t>
      </w:r>
      <w:r>
        <w:rPr>
          <w:color w:val="231F20"/>
          <w:spacing w:val="-14"/>
          <w:sz w:val="20"/>
        </w:rPr>
        <w:t xml:space="preserve"> </w:t>
      </w:r>
      <w:r>
        <w:rPr>
          <w:color w:val="231F20"/>
          <w:sz w:val="20"/>
        </w:rPr>
        <w:t>Council or committee of a College shall preserve secrecy with respect to all information that comes to his or her knowledge in the course of his or her duties and shall not communicate any information to any other person</w:t>
      </w:r>
      <w:r>
        <w:rPr>
          <w:color w:val="231F20"/>
          <w:spacing w:val="-6"/>
          <w:sz w:val="20"/>
        </w:rPr>
        <w:t xml:space="preserve"> </w:t>
      </w:r>
      <w:r>
        <w:rPr>
          <w:color w:val="231F20"/>
          <w:sz w:val="20"/>
        </w:rPr>
        <w:t>except,</w:t>
      </w:r>
    </w:p>
    <w:p w:rsidR="001E7B33" w:rsidRDefault="006A03D6">
      <w:pPr>
        <w:pStyle w:val="ListParagraph"/>
        <w:numPr>
          <w:ilvl w:val="1"/>
          <w:numId w:val="1"/>
        </w:numPr>
        <w:tabs>
          <w:tab w:val="left" w:pos="2520"/>
          <w:tab w:val="left" w:pos="2521"/>
        </w:tabs>
        <w:spacing w:line="276" w:lineRule="auto"/>
        <w:ind w:right="1467" w:hanging="361"/>
        <w:rPr>
          <w:sz w:val="20"/>
        </w:rPr>
      </w:pPr>
      <w:r>
        <w:rPr>
          <w:color w:val="231F20"/>
          <w:sz w:val="20"/>
        </w:rPr>
        <w:t>to the extent that the information is available to the public under this Act, a health</w:t>
      </w:r>
      <w:r>
        <w:rPr>
          <w:color w:val="231F20"/>
          <w:spacing w:val="-23"/>
          <w:sz w:val="20"/>
        </w:rPr>
        <w:t xml:space="preserve"> </w:t>
      </w:r>
      <w:r>
        <w:rPr>
          <w:color w:val="231F20"/>
          <w:sz w:val="20"/>
        </w:rPr>
        <w:t>professional Act or the Drug and Pharmacies Regulation</w:t>
      </w:r>
      <w:r>
        <w:rPr>
          <w:color w:val="231F20"/>
          <w:spacing w:val="-1"/>
          <w:sz w:val="20"/>
        </w:rPr>
        <w:t xml:space="preserve"> </w:t>
      </w:r>
      <w:r>
        <w:rPr>
          <w:color w:val="231F20"/>
          <w:sz w:val="20"/>
        </w:rPr>
        <w:t>Act</w:t>
      </w:r>
    </w:p>
    <w:p w:rsidR="001E7B33" w:rsidRDefault="006A03D6">
      <w:pPr>
        <w:pStyle w:val="ListParagraph"/>
        <w:numPr>
          <w:ilvl w:val="1"/>
          <w:numId w:val="1"/>
        </w:numPr>
        <w:tabs>
          <w:tab w:val="left" w:pos="2521"/>
          <w:tab w:val="left" w:pos="2522"/>
        </w:tabs>
        <w:spacing w:line="276" w:lineRule="auto"/>
        <w:ind w:right="1445"/>
        <w:rPr>
          <w:sz w:val="20"/>
        </w:rPr>
      </w:pPr>
      <w:r>
        <w:rPr>
          <w:color w:val="231F20"/>
          <w:sz w:val="20"/>
        </w:rPr>
        <w:t>in connection with the administration of this Act, a health professional Act or the Drug and Pharmacies Regulation Act, including, without limiting the generality of this, in connection</w:t>
      </w:r>
      <w:r>
        <w:rPr>
          <w:color w:val="231F20"/>
          <w:spacing w:val="-10"/>
          <w:sz w:val="20"/>
        </w:rPr>
        <w:t xml:space="preserve"> </w:t>
      </w:r>
      <w:r>
        <w:rPr>
          <w:color w:val="231F20"/>
          <w:sz w:val="20"/>
        </w:rPr>
        <w:t>with anything relating to the registration of members, complaints about members, allegations of members’ incapacity, incompetence or acts of professional misconduct or the governing of the profession;</w:t>
      </w:r>
    </w:p>
    <w:p w:rsidR="001E7B33" w:rsidRDefault="006A03D6">
      <w:pPr>
        <w:pStyle w:val="ListParagraph"/>
        <w:numPr>
          <w:ilvl w:val="1"/>
          <w:numId w:val="1"/>
        </w:numPr>
        <w:tabs>
          <w:tab w:val="left" w:pos="2521"/>
          <w:tab w:val="left" w:pos="2522"/>
        </w:tabs>
        <w:spacing w:line="226" w:lineRule="exact"/>
        <w:rPr>
          <w:sz w:val="20"/>
        </w:rPr>
      </w:pPr>
      <w:r>
        <w:rPr>
          <w:color w:val="231F20"/>
          <w:sz w:val="20"/>
        </w:rPr>
        <w:t>body that governs a health profession in a jurisdiction other than</w:t>
      </w:r>
      <w:r>
        <w:rPr>
          <w:color w:val="231F20"/>
          <w:spacing w:val="-13"/>
          <w:sz w:val="20"/>
        </w:rPr>
        <w:t xml:space="preserve"> </w:t>
      </w:r>
      <w:r>
        <w:rPr>
          <w:color w:val="231F20"/>
          <w:sz w:val="20"/>
        </w:rPr>
        <w:t>Ontario;</w:t>
      </w:r>
    </w:p>
    <w:p w:rsidR="001E7B33" w:rsidRDefault="006A03D6">
      <w:pPr>
        <w:pStyle w:val="ListParagraph"/>
        <w:numPr>
          <w:ilvl w:val="1"/>
          <w:numId w:val="1"/>
        </w:numPr>
        <w:tabs>
          <w:tab w:val="left" w:pos="2521"/>
          <w:tab w:val="left" w:pos="2522"/>
        </w:tabs>
        <w:spacing w:before="33" w:line="276" w:lineRule="auto"/>
        <w:ind w:left="2522" w:right="1689" w:hanging="361"/>
        <w:rPr>
          <w:sz w:val="20"/>
        </w:rPr>
      </w:pPr>
      <w:r>
        <w:rPr>
          <w:color w:val="231F20"/>
          <w:sz w:val="20"/>
        </w:rPr>
        <w:t>as may be required for the administration of the Drug Interchangeability and Dispensing Fee Act, the Health Insurance Act, the Independent Health Facilities Act, the Ontario Drug</w:t>
      </w:r>
      <w:r>
        <w:rPr>
          <w:color w:val="231F20"/>
          <w:spacing w:val="-12"/>
          <w:sz w:val="20"/>
        </w:rPr>
        <w:t xml:space="preserve"> </w:t>
      </w:r>
      <w:r>
        <w:rPr>
          <w:color w:val="231F20"/>
          <w:sz w:val="20"/>
        </w:rPr>
        <w:t>Benefit Act, the Narcotic Control Act (Canada) and the Food and Drugs Act</w:t>
      </w:r>
      <w:r>
        <w:rPr>
          <w:color w:val="231F20"/>
          <w:spacing w:val="-24"/>
          <w:sz w:val="20"/>
        </w:rPr>
        <w:t xml:space="preserve"> </w:t>
      </w:r>
      <w:r>
        <w:rPr>
          <w:color w:val="231F20"/>
          <w:sz w:val="20"/>
        </w:rPr>
        <w:t>(Canada);</w:t>
      </w:r>
    </w:p>
    <w:p w:rsidR="001E7B33" w:rsidRDefault="006A03D6">
      <w:pPr>
        <w:pStyle w:val="ListParagraph"/>
        <w:numPr>
          <w:ilvl w:val="1"/>
          <w:numId w:val="1"/>
        </w:numPr>
        <w:tabs>
          <w:tab w:val="left" w:pos="2521"/>
          <w:tab w:val="left" w:pos="2522"/>
        </w:tabs>
        <w:spacing w:line="226" w:lineRule="exact"/>
        <w:ind w:hanging="359"/>
        <w:rPr>
          <w:sz w:val="20"/>
        </w:rPr>
      </w:pPr>
      <w:r>
        <w:rPr>
          <w:color w:val="231F20"/>
          <w:sz w:val="20"/>
        </w:rPr>
        <w:t>to the counsel of the person who is required to preserve secrecy;</w:t>
      </w:r>
      <w:r>
        <w:rPr>
          <w:color w:val="231F20"/>
          <w:spacing w:val="-20"/>
          <w:sz w:val="20"/>
        </w:rPr>
        <w:t xml:space="preserve"> </w:t>
      </w:r>
      <w:r>
        <w:rPr>
          <w:color w:val="231F20"/>
          <w:sz w:val="20"/>
        </w:rPr>
        <w:t>or</w:t>
      </w:r>
    </w:p>
    <w:p w:rsidR="001E7B33" w:rsidRDefault="006A03D6">
      <w:pPr>
        <w:pStyle w:val="BodyText"/>
        <w:tabs>
          <w:tab w:val="left" w:pos="2522"/>
        </w:tabs>
        <w:spacing w:before="33" w:line="276" w:lineRule="auto"/>
        <w:ind w:left="2522" w:right="1747" w:hanging="361"/>
      </w:pPr>
      <w:r>
        <w:rPr>
          <w:color w:val="231F20"/>
        </w:rPr>
        <w:t>6.</w:t>
      </w:r>
      <w:r>
        <w:rPr>
          <w:color w:val="231F20"/>
        </w:rPr>
        <w:tab/>
        <w:t>with the written consent of the person to whom the information relates. 1991,c. 18,</w:t>
      </w:r>
      <w:r>
        <w:rPr>
          <w:color w:val="231F20"/>
          <w:spacing w:val="-11"/>
        </w:rPr>
        <w:t xml:space="preserve"> </w:t>
      </w:r>
      <w:r>
        <w:rPr>
          <w:color w:val="231F20"/>
        </w:rPr>
        <w:t>s.</w:t>
      </w:r>
      <w:r>
        <w:rPr>
          <w:color w:val="231F20"/>
          <w:spacing w:val="-1"/>
        </w:rPr>
        <w:t xml:space="preserve"> </w:t>
      </w:r>
      <w:r>
        <w:rPr>
          <w:color w:val="231F20"/>
        </w:rPr>
        <w:t>36(1); 1996, c.1, sched. G, s.</w:t>
      </w:r>
      <w:r>
        <w:rPr>
          <w:color w:val="231F20"/>
          <w:spacing w:val="3"/>
        </w:rPr>
        <w:t xml:space="preserve"> </w:t>
      </w:r>
      <w:r>
        <w:rPr>
          <w:color w:val="231F20"/>
        </w:rPr>
        <w:t>27(1).</w:t>
      </w:r>
    </w:p>
    <w:p w:rsidR="001E7B33" w:rsidRDefault="006A03D6">
      <w:pPr>
        <w:pStyle w:val="BodyText"/>
        <w:spacing w:line="276" w:lineRule="auto"/>
        <w:ind w:left="2598" w:right="1618" w:hanging="437"/>
      </w:pPr>
      <w:r>
        <w:rPr>
          <w:color w:val="231F20"/>
        </w:rPr>
        <w:t>(1.1) clauses (1) (c) and (d) do not apply with respect to reports required under section 85.1 or 85.2 of the Code. 1993, c. 37, s. 1.</w:t>
      </w:r>
    </w:p>
    <w:p w:rsidR="001E7B33" w:rsidRDefault="001E7B33">
      <w:pPr>
        <w:pStyle w:val="BodyText"/>
        <w:spacing w:before="10"/>
        <w:rPr>
          <w:sz w:val="22"/>
        </w:rPr>
      </w:pPr>
    </w:p>
    <w:p w:rsidR="001E7B33" w:rsidRDefault="006A03D6">
      <w:pPr>
        <w:pStyle w:val="BodyText"/>
        <w:spacing w:line="276" w:lineRule="auto"/>
        <w:ind w:left="2159" w:right="1546" w:firstLine="2"/>
      </w:pPr>
      <w:r>
        <w:rPr>
          <w:color w:val="231F20"/>
        </w:rPr>
        <w:t>(2) No person or member described in subsection (1) shall be compelled to give testimony in a civil proceeding with regard to matters that come to his or her knowledge in the course of his or her duties. 1991, c. 18, s. 36 (2).</w:t>
      </w:r>
    </w:p>
    <w:p w:rsidR="001E7B33" w:rsidRDefault="001E7B33">
      <w:pPr>
        <w:pStyle w:val="BodyText"/>
        <w:spacing w:before="8"/>
        <w:rPr>
          <w:sz w:val="22"/>
        </w:rPr>
      </w:pPr>
    </w:p>
    <w:p w:rsidR="001E7B33" w:rsidRDefault="006A03D6">
      <w:pPr>
        <w:pStyle w:val="BodyText"/>
        <w:spacing w:line="276" w:lineRule="auto"/>
        <w:ind w:left="2160" w:right="1357" w:hanging="361"/>
      </w:pPr>
      <w:r>
        <w:rPr>
          <w:color w:val="231F20"/>
        </w:rPr>
        <w:t>40. (4) Every person who contravenes subsection 36 (1) is guilty of an offence and on conviction is liable to a fine of not more than $25,000. 1993, c. 37, s. 2.</w:t>
      </w:r>
    </w:p>
    <w:p w:rsidR="001E7B33" w:rsidRDefault="001E7B33">
      <w:pPr>
        <w:pStyle w:val="BodyText"/>
        <w:spacing w:before="8"/>
        <w:rPr>
          <w:sz w:val="22"/>
        </w:rPr>
      </w:pPr>
    </w:p>
    <w:p w:rsidR="001E7B33" w:rsidRDefault="006A03D6">
      <w:pPr>
        <w:pStyle w:val="BodyText"/>
        <w:ind w:left="1800"/>
      </w:pPr>
      <w:r>
        <w:rPr>
          <w:color w:val="231F20"/>
        </w:rPr>
        <w:t>January 2009</w:t>
      </w:r>
    </w:p>
    <w:sectPr w:rsidR="001E7B33">
      <w:pgSz w:w="12240" w:h="15840"/>
      <w:pgMar w:top="1380" w:right="0" w:bottom="1000" w:left="0" w:header="0" w:footer="8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13" w:rsidRDefault="006A03D6">
      <w:r>
        <w:separator/>
      </w:r>
    </w:p>
  </w:endnote>
  <w:endnote w:type="continuationSeparator" w:id="0">
    <w:p w:rsidR="003F4C13" w:rsidRDefault="006A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 B5 Plain">
    <w:altName w:val="TheSans B5 Plain"/>
    <w:panose1 w:val="000B0500000000000000"/>
    <w:charset w:val="00"/>
    <w:family w:val="swiss"/>
    <w:notTrueType/>
    <w:pitch w:val="variable"/>
    <w:sig w:usb0="00000083" w:usb1="00000000" w:usb2="00000000" w:usb3="00000000" w:csb0="00000009"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 B3 Light">
    <w:altName w:val="TheSans B3 Light"/>
    <w:panose1 w:val="000B0500000000000000"/>
    <w:charset w:val="00"/>
    <w:family w:val="swiss"/>
    <w:notTrueType/>
    <w:pitch w:val="variable"/>
    <w:sig w:usb0="00000083" w:usb1="00000000" w:usb2="00000000" w:usb3="00000000" w:csb0="00000009" w:csb1="00000000"/>
  </w:font>
  <w:font w:name="TheSans B6 SemiBold">
    <w:altName w:val="TheSans B6 SemiBold"/>
    <w:panose1 w:val="000B05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33" w:rsidRDefault="00696ED4">
    <w:pPr>
      <w:pStyle w:val="BodyText"/>
      <w:spacing w:line="14" w:lineRule="auto"/>
    </w:pPr>
    <w:r>
      <w:pict>
        <v:group id="_x0000_s1026" style="position:absolute;margin-left:0;margin-top:738.9pt;width:612pt;height:53.1pt;z-index:-5128;mso-position-horizontal-relative:page;mso-position-vertical-relative:page" coordorigin=",14778" coordsize="12240,1062">
          <v:shape id="_x0000_s1028" style="position:absolute;left:10018;top:14778;width:2223;height:603" coordorigin="10018,14778" coordsize="2223,603" path="m12240,14778r-2008,l10100,14783r-65,37l10018,14922r11,198l10029,15380r2211,l12240,14778xe" fillcolor="#77a12f" stroked="f">
            <v:path arrowok="t"/>
          </v:shape>
          <v:rect id="_x0000_s1027" style="position:absolute;top:15360;width:12240;height:479" fillcolor="#0064a3" stroked="f"/>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550.75pt;margin-top:746.65pt;width:34.15pt;height:14.5pt;z-index:-5104;mso-position-horizontal-relative:page;mso-position-vertical-relative:page" filled="f" stroked="f">
          <v:textbox inset="0,0,0,0">
            <w:txbxContent>
              <w:p w:rsidR="001E7B33" w:rsidRDefault="006A03D6">
                <w:pPr>
                  <w:spacing w:before="3"/>
                  <w:ind w:left="20"/>
                  <w:rPr>
                    <w:rFonts w:ascii="Calibri"/>
                    <w:b/>
                    <w:i/>
                  </w:rPr>
                </w:pPr>
                <w:r>
                  <w:rPr>
                    <w:rFonts w:ascii="Calibri"/>
                    <w:b/>
                    <w:i/>
                    <w:color w:val="FFFFFF"/>
                    <w:w w:val="105"/>
                  </w:rPr>
                  <w:t xml:space="preserve">Page </w:t>
                </w:r>
                <w:r>
                  <w:fldChar w:fldCharType="begin"/>
                </w:r>
                <w:r>
                  <w:rPr>
                    <w:rFonts w:ascii="Calibri"/>
                    <w:b/>
                    <w:i/>
                    <w:color w:val="FFFFFF"/>
                    <w:w w:val="105"/>
                  </w:rPr>
                  <w:instrText xml:space="preserve"> PAGE </w:instrText>
                </w:r>
                <w:r>
                  <w:fldChar w:fldCharType="separate"/>
                </w:r>
                <w:r w:rsidR="00696ED4">
                  <w:rPr>
                    <w:rFonts w:ascii="Calibri"/>
                    <w:b/>
                    <w:i/>
                    <w:noProof/>
                    <w:color w:val="FFFFFF"/>
                    <w:w w:val="105"/>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13" w:rsidRDefault="006A03D6">
      <w:r>
        <w:separator/>
      </w:r>
    </w:p>
  </w:footnote>
  <w:footnote w:type="continuationSeparator" w:id="0">
    <w:p w:rsidR="003F4C13" w:rsidRDefault="006A0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33" w:rsidRDefault="005969C4">
    <w:pPr>
      <w:pStyle w:val="BodyText"/>
      <w:spacing w:line="14" w:lineRule="auto"/>
    </w:pPr>
    <w:r>
      <w:rPr>
        <w:noProof/>
        <w:lang w:val="en-CA" w:eastAsia="en-CA"/>
      </w:rPr>
      <w:drawing>
        <wp:anchor distT="0" distB="0" distL="114300" distR="114300" simplePos="0" relativeHeight="503312400" behindDoc="0" locked="0" layoutInCell="1" allowOverlap="1" wp14:anchorId="74AA1726" wp14:editId="3C47060A">
          <wp:simplePos x="0" y="0"/>
          <wp:positionH relativeFrom="column">
            <wp:posOffset>842645</wp:posOffset>
          </wp:positionH>
          <wp:positionV relativeFrom="paragraph">
            <wp:posOffset>595630</wp:posOffset>
          </wp:positionV>
          <wp:extent cx="1574165" cy="528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O Logo New CMYK 1107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165" cy="528955"/>
                  </a:xfrm>
                  <a:prstGeom prst="rect">
                    <a:avLst/>
                  </a:prstGeom>
                </pic:spPr>
              </pic:pic>
            </a:graphicData>
          </a:graphic>
          <wp14:sizeRelH relativeFrom="page">
            <wp14:pctWidth>0</wp14:pctWidth>
          </wp14:sizeRelH>
          <wp14:sizeRelV relativeFrom="page">
            <wp14:pctHeight>0</wp14:pctHeight>
          </wp14:sizeRelV>
        </wp:anchor>
      </w:drawing>
    </w:r>
    <w:r w:rsidR="00696ED4">
      <w:pict>
        <v:rect id="_x0000_s1038" style="position:absolute;margin-left:0;margin-top:0;width:612pt;height:11pt;z-index:-5464;mso-position-horizontal-relative:page;mso-position-vertical-relative:page" fillcolor="#0064a3"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3C17"/>
    <w:multiLevelType w:val="hybridMultilevel"/>
    <w:tmpl w:val="0D3CF14C"/>
    <w:lvl w:ilvl="0" w:tplc="7AA45DFE">
      <w:start w:val="5"/>
      <w:numFmt w:val="decimal"/>
      <w:lvlText w:val="%1."/>
      <w:lvlJc w:val="left"/>
      <w:pPr>
        <w:ind w:left="2160" w:hanging="360"/>
        <w:jc w:val="left"/>
      </w:pPr>
      <w:rPr>
        <w:rFonts w:ascii="TheSans B5 Plain" w:eastAsia="TheSans B5 Plain" w:hAnsi="TheSans B5 Plain" w:cs="TheSans B5 Plain" w:hint="default"/>
        <w:color w:val="231F20"/>
        <w:spacing w:val="-6"/>
        <w:w w:val="100"/>
        <w:sz w:val="20"/>
        <w:szCs w:val="20"/>
      </w:rPr>
    </w:lvl>
    <w:lvl w:ilvl="1" w:tplc="49326486">
      <w:start w:val="1"/>
      <w:numFmt w:val="lowerLetter"/>
      <w:lvlText w:val="%2."/>
      <w:lvlJc w:val="left"/>
      <w:pPr>
        <w:ind w:left="2520" w:hanging="360"/>
        <w:jc w:val="left"/>
      </w:pPr>
      <w:rPr>
        <w:rFonts w:ascii="TheSans B5 Plain" w:eastAsia="TheSans B5 Plain" w:hAnsi="TheSans B5 Plain" w:cs="TheSans B5 Plain" w:hint="default"/>
        <w:color w:val="231F20"/>
        <w:spacing w:val="-13"/>
        <w:w w:val="100"/>
        <w:sz w:val="20"/>
        <w:szCs w:val="20"/>
      </w:rPr>
    </w:lvl>
    <w:lvl w:ilvl="2" w:tplc="D2708B20">
      <w:numFmt w:val="bullet"/>
      <w:lvlText w:val="•"/>
      <w:lvlJc w:val="left"/>
      <w:pPr>
        <w:ind w:left="3600" w:hanging="360"/>
      </w:pPr>
      <w:rPr>
        <w:rFonts w:hint="default"/>
      </w:rPr>
    </w:lvl>
    <w:lvl w:ilvl="3" w:tplc="B78AA862">
      <w:numFmt w:val="bullet"/>
      <w:lvlText w:val="•"/>
      <w:lvlJc w:val="left"/>
      <w:pPr>
        <w:ind w:left="4680" w:hanging="360"/>
      </w:pPr>
      <w:rPr>
        <w:rFonts w:hint="default"/>
      </w:rPr>
    </w:lvl>
    <w:lvl w:ilvl="4" w:tplc="3B1E7A78">
      <w:numFmt w:val="bullet"/>
      <w:lvlText w:val="•"/>
      <w:lvlJc w:val="left"/>
      <w:pPr>
        <w:ind w:left="5760" w:hanging="360"/>
      </w:pPr>
      <w:rPr>
        <w:rFonts w:hint="default"/>
      </w:rPr>
    </w:lvl>
    <w:lvl w:ilvl="5" w:tplc="DC4C1012">
      <w:numFmt w:val="bullet"/>
      <w:lvlText w:val="•"/>
      <w:lvlJc w:val="left"/>
      <w:pPr>
        <w:ind w:left="6840" w:hanging="360"/>
      </w:pPr>
      <w:rPr>
        <w:rFonts w:hint="default"/>
      </w:rPr>
    </w:lvl>
    <w:lvl w:ilvl="6" w:tplc="C144E6EA">
      <w:numFmt w:val="bullet"/>
      <w:lvlText w:val="•"/>
      <w:lvlJc w:val="left"/>
      <w:pPr>
        <w:ind w:left="7920" w:hanging="360"/>
      </w:pPr>
      <w:rPr>
        <w:rFonts w:hint="default"/>
      </w:rPr>
    </w:lvl>
    <w:lvl w:ilvl="7" w:tplc="527E3D38">
      <w:numFmt w:val="bullet"/>
      <w:lvlText w:val="•"/>
      <w:lvlJc w:val="left"/>
      <w:pPr>
        <w:ind w:left="9000" w:hanging="360"/>
      </w:pPr>
      <w:rPr>
        <w:rFonts w:hint="default"/>
      </w:rPr>
    </w:lvl>
    <w:lvl w:ilvl="8" w:tplc="EE5CDA08">
      <w:numFmt w:val="bullet"/>
      <w:lvlText w:val="•"/>
      <w:lvlJc w:val="left"/>
      <w:pPr>
        <w:ind w:left="10080" w:hanging="360"/>
      </w:pPr>
      <w:rPr>
        <w:rFonts w:hint="default"/>
      </w:rPr>
    </w:lvl>
  </w:abstractNum>
  <w:abstractNum w:abstractNumId="1">
    <w:nsid w:val="27CF6414"/>
    <w:multiLevelType w:val="hybridMultilevel"/>
    <w:tmpl w:val="50C037EC"/>
    <w:lvl w:ilvl="0" w:tplc="CA84E0FC">
      <w:start w:val="36"/>
      <w:numFmt w:val="decimal"/>
      <w:lvlText w:val="%1."/>
      <w:lvlJc w:val="left"/>
      <w:pPr>
        <w:ind w:left="2160" w:hanging="360"/>
        <w:jc w:val="left"/>
      </w:pPr>
      <w:rPr>
        <w:rFonts w:ascii="TheSans B5 Plain" w:eastAsia="TheSans B5 Plain" w:hAnsi="TheSans B5 Plain" w:cs="TheSans B5 Plain" w:hint="default"/>
        <w:color w:val="231F20"/>
        <w:spacing w:val="-5"/>
        <w:w w:val="100"/>
        <w:sz w:val="20"/>
        <w:szCs w:val="20"/>
      </w:rPr>
    </w:lvl>
    <w:lvl w:ilvl="1" w:tplc="B66A7D98">
      <w:start w:val="1"/>
      <w:numFmt w:val="lowerLetter"/>
      <w:lvlText w:val="%2."/>
      <w:lvlJc w:val="left"/>
      <w:pPr>
        <w:ind w:left="2521" w:hanging="360"/>
        <w:jc w:val="left"/>
      </w:pPr>
      <w:rPr>
        <w:rFonts w:ascii="TheSans B5 Plain" w:eastAsia="TheSans B5 Plain" w:hAnsi="TheSans B5 Plain" w:cs="TheSans B5 Plain" w:hint="default"/>
        <w:color w:val="231F20"/>
        <w:spacing w:val="-5"/>
        <w:w w:val="100"/>
        <w:sz w:val="20"/>
        <w:szCs w:val="20"/>
      </w:rPr>
    </w:lvl>
    <w:lvl w:ilvl="2" w:tplc="99F6F99A">
      <w:numFmt w:val="bullet"/>
      <w:lvlText w:val="•"/>
      <w:lvlJc w:val="left"/>
      <w:pPr>
        <w:ind w:left="3600" w:hanging="360"/>
      </w:pPr>
      <w:rPr>
        <w:rFonts w:hint="default"/>
      </w:rPr>
    </w:lvl>
    <w:lvl w:ilvl="3" w:tplc="38884928">
      <w:numFmt w:val="bullet"/>
      <w:lvlText w:val="•"/>
      <w:lvlJc w:val="left"/>
      <w:pPr>
        <w:ind w:left="4680" w:hanging="360"/>
      </w:pPr>
      <w:rPr>
        <w:rFonts w:hint="default"/>
      </w:rPr>
    </w:lvl>
    <w:lvl w:ilvl="4" w:tplc="F2B468B8">
      <w:numFmt w:val="bullet"/>
      <w:lvlText w:val="•"/>
      <w:lvlJc w:val="left"/>
      <w:pPr>
        <w:ind w:left="5760" w:hanging="360"/>
      </w:pPr>
      <w:rPr>
        <w:rFonts w:hint="default"/>
      </w:rPr>
    </w:lvl>
    <w:lvl w:ilvl="5" w:tplc="BBE27C50">
      <w:numFmt w:val="bullet"/>
      <w:lvlText w:val="•"/>
      <w:lvlJc w:val="left"/>
      <w:pPr>
        <w:ind w:left="6840" w:hanging="360"/>
      </w:pPr>
      <w:rPr>
        <w:rFonts w:hint="default"/>
      </w:rPr>
    </w:lvl>
    <w:lvl w:ilvl="6" w:tplc="6AC0AE06">
      <w:numFmt w:val="bullet"/>
      <w:lvlText w:val="•"/>
      <w:lvlJc w:val="left"/>
      <w:pPr>
        <w:ind w:left="7920" w:hanging="360"/>
      </w:pPr>
      <w:rPr>
        <w:rFonts w:hint="default"/>
      </w:rPr>
    </w:lvl>
    <w:lvl w:ilvl="7" w:tplc="8814ED2E">
      <w:numFmt w:val="bullet"/>
      <w:lvlText w:val="•"/>
      <w:lvlJc w:val="left"/>
      <w:pPr>
        <w:ind w:left="9000" w:hanging="360"/>
      </w:pPr>
      <w:rPr>
        <w:rFonts w:hint="default"/>
      </w:rPr>
    </w:lvl>
    <w:lvl w:ilvl="8" w:tplc="C2C6CF62">
      <w:numFmt w:val="bullet"/>
      <w:lvlText w:val="•"/>
      <w:lvlJc w:val="left"/>
      <w:pPr>
        <w:ind w:left="10080" w:hanging="360"/>
      </w:pPr>
      <w:rPr>
        <w:rFonts w:hint="default"/>
      </w:rPr>
    </w:lvl>
  </w:abstractNum>
  <w:abstractNum w:abstractNumId="2">
    <w:nsid w:val="33DB1A87"/>
    <w:multiLevelType w:val="hybridMultilevel"/>
    <w:tmpl w:val="DC9CD380"/>
    <w:lvl w:ilvl="0" w:tplc="573644FA">
      <w:start w:val="4"/>
      <w:numFmt w:val="decimal"/>
      <w:lvlText w:val="(%1)"/>
      <w:lvlJc w:val="left"/>
      <w:pPr>
        <w:ind w:left="2160" w:hanging="313"/>
        <w:jc w:val="left"/>
      </w:pPr>
      <w:rPr>
        <w:rFonts w:ascii="TheSans B5 Plain" w:eastAsia="TheSans B5 Plain" w:hAnsi="TheSans B5 Plain" w:cs="TheSans B5 Plain" w:hint="default"/>
        <w:color w:val="231F20"/>
        <w:spacing w:val="-9"/>
        <w:w w:val="100"/>
        <w:sz w:val="20"/>
        <w:szCs w:val="20"/>
      </w:rPr>
    </w:lvl>
    <w:lvl w:ilvl="1" w:tplc="A27E3D5E">
      <w:numFmt w:val="bullet"/>
      <w:lvlText w:val="•"/>
      <w:lvlJc w:val="left"/>
      <w:pPr>
        <w:ind w:left="3168" w:hanging="313"/>
      </w:pPr>
      <w:rPr>
        <w:rFonts w:hint="default"/>
      </w:rPr>
    </w:lvl>
    <w:lvl w:ilvl="2" w:tplc="B934B5D4">
      <w:numFmt w:val="bullet"/>
      <w:lvlText w:val="•"/>
      <w:lvlJc w:val="left"/>
      <w:pPr>
        <w:ind w:left="4176" w:hanging="313"/>
      </w:pPr>
      <w:rPr>
        <w:rFonts w:hint="default"/>
      </w:rPr>
    </w:lvl>
    <w:lvl w:ilvl="3" w:tplc="0B1E00AA">
      <w:numFmt w:val="bullet"/>
      <w:lvlText w:val="•"/>
      <w:lvlJc w:val="left"/>
      <w:pPr>
        <w:ind w:left="5184" w:hanging="313"/>
      </w:pPr>
      <w:rPr>
        <w:rFonts w:hint="default"/>
      </w:rPr>
    </w:lvl>
    <w:lvl w:ilvl="4" w:tplc="CC84725C">
      <w:numFmt w:val="bullet"/>
      <w:lvlText w:val="•"/>
      <w:lvlJc w:val="left"/>
      <w:pPr>
        <w:ind w:left="6192" w:hanging="313"/>
      </w:pPr>
      <w:rPr>
        <w:rFonts w:hint="default"/>
      </w:rPr>
    </w:lvl>
    <w:lvl w:ilvl="5" w:tplc="C3B446F4">
      <w:numFmt w:val="bullet"/>
      <w:lvlText w:val="•"/>
      <w:lvlJc w:val="left"/>
      <w:pPr>
        <w:ind w:left="7200" w:hanging="313"/>
      </w:pPr>
      <w:rPr>
        <w:rFonts w:hint="default"/>
      </w:rPr>
    </w:lvl>
    <w:lvl w:ilvl="6" w:tplc="948A001C">
      <w:numFmt w:val="bullet"/>
      <w:lvlText w:val="•"/>
      <w:lvlJc w:val="left"/>
      <w:pPr>
        <w:ind w:left="8208" w:hanging="313"/>
      </w:pPr>
      <w:rPr>
        <w:rFonts w:hint="default"/>
      </w:rPr>
    </w:lvl>
    <w:lvl w:ilvl="7" w:tplc="8D34A64A">
      <w:numFmt w:val="bullet"/>
      <w:lvlText w:val="•"/>
      <w:lvlJc w:val="left"/>
      <w:pPr>
        <w:ind w:left="9216" w:hanging="313"/>
      </w:pPr>
      <w:rPr>
        <w:rFonts w:hint="default"/>
      </w:rPr>
    </w:lvl>
    <w:lvl w:ilvl="8" w:tplc="F2F415A2">
      <w:numFmt w:val="bullet"/>
      <w:lvlText w:val="•"/>
      <w:lvlJc w:val="left"/>
      <w:pPr>
        <w:ind w:left="10224" w:hanging="313"/>
      </w:pPr>
      <w:rPr>
        <w:rFonts w:hint="default"/>
      </w:rPr>
    </w:lvl>
  </w:abstractNum>
  <w:abstractNum w:abstractNumId="3">
    <w:nsid w:val="771A7767"/>
    <w:multiLevelType w:val="hybridMultilevel"/>
    <w:tmpl w:val="DB00475A"/>
    <w:lvl w:ilvl="0" w:tplc="C560738C">
      <w:start w:val="82"/>
      <w:numFmt w:val="decimal"/>
      <w:lvlText w:val="%1."/>
      <w:lvlJc w:val="left"/>
      <w:pPr>
        <w:ind w:left="2160" w:hanging="353"/>
        <w:jc w:val="left"/>
      </w:pPr>
      <w:rPr>
        <w:rFonts w:ascii="TheSans B5 Plain" w:eastAsia="TheSans B5 Plain" w:hAnsi="TheSans B5 Plain" w:cs="TheSans B5 Plain" w:hint="default"/>
        <w:color w:val="231F20"/>
        <w:spacing w:val="-4"/>
        <w:w w:val="100"/>
        <w:sz w:val="20"/>
        <w:szCs w:val="20"/>
      </w:rPr>
    </w:lvl>
    <w:lvl w:ilvl="1" w:tplc="28F6D038">
      <w:start w:val="1"/>
      <w:numFmt w:val="lowerLetter"/>
      <w:lvlText w:val="%2."/>
      <w:lvlJc w:val="left"/>
      <w:pPr>
        <w:ind w:left="2160" w:hanging="360"/>
        <w:jc w:val="left"/>
      </w:pPr>
      <w:rPr>
        <w:rFonts w:ascii="TheSans B5 Plain" w:eastAsia="TheSans B5 Plain" w:hAnsi="TheSans B5 Plain" w:cs="TheSans B5 Plain" w:hint="default"/>
        <w:color w:val="231F20"/>
        <w:spacing w:val="-4"/>
        <w:w w:val="100"/>
        <w:sz w:val="20"/>
        <w:szCs w:val="20"/>
      </w:rPr>
    </w:lvl>
    <w:lvl w:ilvl="2" w:tplc="75E65E3A">
      <w:start w:val="2"/>
      <w:numFmt w:val="decimal"/>
      <w:lvlText w:val="(%3)"/>
      <w:lvlJc w:val="left"/>
      <w:pPr>
        <w:ind w:left="2161" w:hanging="319"/>
        <w:jc w:val="left"/>
      </w:pPr>
      <w:rPr>
        <w:rFonts w:ascii="TheSans B5 Plain" w:eastAsia="TheSans B5 Plain" w:hAnsi="TheSans B5 Plain" w:cs="TheSans B5 Plain" w:hint="default"/>
        <w:color w:val="231F20"/>
        <w:spacing w:val="-5"/>
        <w:w w:val="100"/>
        <w:sz w:val="20"/>
        <w:szCs w:val="20"/>
      </w:rPr>
    </w:lvl>
    <w:lvl w:ilvl="3" w:tplc="3D80A5C6">
      <w:numFmt w:val="bullet"/>
      <w:lvlText w:val="•"/>
      <w:lvlJc w:val="left"/>
      <w:pPr>
        <w:ind w:left="5184" w:hanging="319"/>
      </w:pPr>
      <w:rPr>
        <w:rFonts w:hint="default"/>
      </w:rPr>
    </w:lvl>
    <w:lvl w:ilvl="4" w:tplc="4ADC4E5E">
      <w:numFmt w:val="bullet"/>
      <w:lvlText w:val="•"/>
      <w:lvlJc w:val="left"/>
      <w:pPr>
        <w:ind w:left="6192" w:hanging="319"/>
      </w:pPr>
      <w:rPr>
        <w:rFonts w:hint="default"/>
      </w:rPr>
    </w:lvl>
    <w:lvl w:ilvl="5" w:tplc="FA06406A">
      <w:numFmt w:val="bullet"/>
      <w:lvlText w:val="•"/>
      <w:lvlJc w:val="left"/>
      <w:pPr>
        <w:ind w:left="7200" w:hanging="319"/>
      </w:pPr>
      <w:rPr>
        <w:rFonts w:hint="default"/>
      </w:rPr>
    </w:lvl>
    <w:lvl w:ilvl="6" w:tplc="B5446284">
      <w:numFmt w:val="bullet"/>
      <w:lvlText w:val="•"/>
      <w:lvlJc w:val="left"/>
      <w:pPr>
        <w:ind w:left="8208" w:hanging="319"/>
      </w:pPr>
      <w:rPr>
        <w:rFonts w:hint="default"/>
      </w:rPr>
    </w:lvl>
    <w:lvl w:ilvl="7" w:tplc="BD76DDDE">
      <w:numFmt w:val="bullet"/>
      <w:lvlText w:val="•"/>
      <w:lvlJc w:val="left"/>
      <w:pPr>
        <w:ind w:left="9216" w:hanging="319"/>
      </w:pPr>
      <w:rPr>
        <w:rFonts w:hint="default"/>
      </w:rPr>
    </w:lvl>
    <w:lvl w:ilvl="8" w:tplc="1074B596">
      <w:numFmt w:val="bullet"/>
      <w:lvlText w:val="•"/>
      <w:lvlJc w:val="left"/>
      <w:pPr>
        <w:ind w:left="10224" w:hanging="319"/>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E7B33"/>
    <w:rsid w:val="001E7B33"/>
    <w:rsid w:val="003F4C13"/>
    <w:rsid w:val="004D1E43"/>
    <w:rsid w:val="005969C4"/>
    <w:rsid w:val="00696ED4"/>
    <w:rsid w:val="006A03D6"/>
    <w:rsid w:val="00A25509"/>
    <w:rsid w:val="00F25E0F"/>
    <w:rsid w:val="00F5261A"/>
    <w:rsid w:val="00FA5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heSans B5 Plain" w:eastAsia="TheSans B5 Plain" w:hAnsi="TheSans B5 Plain" w:cs="TheSans B5 Plain"/>
    </w:rPr>
  </w:style>
  <w:style w:type="paragraph" w:styleId="Heading1">
    <w:name w:val="heading 1"/>
    <w:basedOn w:val="Normal"/>
    <w:uiPriority w:val="1"/>
    <w:qFormat/>
    <w:pPr>
      <w:spacing w:before="100"/>
      <w:ind w:left="1800"/>
      <w:outlineLvl w:val="0"/>
    </w:pPr>
    <w:rPr>
      <w:rFonts w:ascii="TheSans B3 Light" w:eastAsia="TheSans B3 Light" w:hAnsi="TheSans B3 Light" w:cs="TheSans B3 Light"/>
      <w:sz w:val="28"/>
      <w:szCs w:val="28"/>
    </w:rPr>
  </w:style>
  <w:style w:type="paragraph" w:styleId="Heading2">
    <w:name w:val="heading 2"/>
    <w:basedOn w:val="Normal"/>
    <w:uiPriority w:val="1"/>
    <w:qFormat/>
    <w:pPr>
      <w:ind w:left="1800"/>
      <w:outlineLvl w:val="1"/>
    </w:pPr>
    <w:rPr>
      <w:rFonts w:ascii="TheSans B6 SemiBold" w:eastAsia="TheSans B6 SemiBold" w:hAnsi="TheSans B6 SemiBold" w:cs="TheSans B6 S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03D6"/>
    <w:rPr>
      <w:rFonts w:ascii="Tahoma" w:hAnsi="Tahoma" w:cs="Tahoma"/>
      <w:sz w:val="16"/>
      <w:szCs w:val="16"/>
    </w:rPr>
  </w:style>
  <w:style w:type="character" w:customStyle="1" w:styleId="BalloonTextChar">
    <w:name w:val="Balloon Text Char"/>
    <w:basedOn w:val="DefaultParagraphFont"/>
    <w:link w:val="BalloonText"/>
    <w:uiPriority w:val="99"/>
    <w:semiHidden/>
    <w:rsid w:val="006A03D6"/>
    <w:rPr>
      <w:rFonts w:ascii="Tahoma" w:eastAsia="TheSans B5 Plain" w:hAnsi="Tahoma" w:cs="Tahoma"/>
      <w:sz w:val="16"/>
      <w:szCs w:val="16"/>
    </w:rPr>
  </w:style>
  <w:style w:type="paragraph" w:styleId="Header">
    <w:name w:val="header"/>
    <w:basedOn w:val="Normal"/>
    <w:link w:val="HeaderChar"/>
    <w:uiPriority w:val="99"/>
    <w:unhideWhenUsed/>
    <w:rsid w:val="006A03D6"/>
    <w:pPr>
      <w:tabs>
        <w:tab w:val="center" w:pos="4680"/>
        <w:tab w:val="right" w:pos="9360"/>
      </w:tabs>
    </w:pPr>
  </w:style>
  <w:style w:type="character" w:customStyle="1" w:styleId="HeaderChar">
    <w:name w:val="Header Char"/>
    <w:basedOn w:val="DefaultParagraphFont"/>
    <w:link w:val="Header"/>
    <w:uiPriority w:val="99"/>
    <w:rsid w:val="006A03D6"/>
    <w:rPr>
      <w:rFonts w:ascii="TheSans B5 Plain" w:eastAsia="TheSans B5 Plain" w:hAnsi="TheSans B5 Plain" w:cs="TheSans B5 Plain"/>
    </w:rPr>
  </w:style>
  <w:style w:type="paragraph" w:styleId="Footer">
    <w:name w:val="footer"/>
    <w:basedOn w:val="Normal"/>
    <w:link w:val="FooterChar"/>
    <w:uiPriority w:val="99"/>
    <w:unhideWhenUsed/>
    <w:rsid w:val="006A03D6"/>
    <w:pPr>
      <w:tabs>
        <w:tab w:val="center" w:pos="4680"/>
        <w:tab w:val="right" w:pos="9360"/>
      </w:tabs>
    </w:pPr>
  </w:style>
  <w:style w:type="character" w:customStyle="1" w:styleId="FooterChar">
    <w:name w:val="Footer Char"/>
    <w:basedOn w:val="DefaultParagraphFont"/>
    <w:link w:val="Footer"/>
    <w:uiPriority w:val="99"/>
    <w:rsid w:val="006A03D6"/>
    <w:rPr>
      <w:rFonts w:ascii="TheSans B5 Plain" w:eastAsia="TheSans B5 Plain" w:hAnsi="TheSans B5 Plain" w:cs="TheSans B5 Pl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Access to Facilities and Charts Employers.indd</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Facilities and Charts Employers.indd</dc:title>
  <dc:creator>kmicheelsen</dc:creator>
  <cp:lastModifiedBy>Connie Fong</cp:lastModifiedBy>
  <cp:revision>10</cp:revision>
  <cp:lastPrinted>2018-01-05T16:44:00Z</cp:lastPrinted>
  <dcterms:created xsi:type="dcterms:W3CDTF">2016-11-09T14:11:00Z</dcterms:created>
  <dcterms:modified xsi:type="dcterms:W3CDTF">2018-01-05T16:44:00Z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2009-03-12T00:00:00Z</vt:filetime>
  </property>
  <property fmtid="{D5CDD505-2E9C-101B-9397-08002B2CF9AE}" pid="3" name="Creator">
    <vt:lpwstr>PScript5.dll Version 5.2.2</vt:lpwstr>
  </property>
  <property fmtid="{D5CDD505-2E9C-101B-9397-08002B2CF9AE}" pid="4" name="LastSaved">
    <vt:filetime>2016-11-09T00:00:00Z</vt:filetime>
  </property>
</Properties>
</file>